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DB0C6F">
              <w:rPr>
                <w:rFonts w:ascii="Times New Roman" w:hAnsi="Times New Roman" w:cs="Times New Roman"/>
                <w:b/>
                <w:sz w:val="22"/>
                <w:szCs w:val="22"/>
              </w:rPr>
              <w:t>122.4</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A5316F">
              <w:rPr>
                <w:rFonts w:ascii="Times New Roman" w:hAnsi="Times New Roman" w:cs="Times New Roman"/>
                <w:b/>
                <w:sz w:val="22"/>
                <w:szCs w:val="22"/>
                <w:lang w:val="fr-FR"/>
              </w:rPr>
              <w:t>s complémentaires 2 et 3 porte</w:t>
            </w:r>
            <w:bookmarkStart w:id="0" w:name="_GoBack"/>
            <w:bookmarkEnd w:id="0"/>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A5316F" w:rsidTr="001A16C8">
        <w:tc>
          <w:tcPr>
            <w:tcW w:w="9778" w:type="dxa"/>
            <w:gridSpan w:val="3"/>
          </w:tcPr>
          <w:p w:rsidR="00E167D7" w:rsidRPr="00A03170" w:rsidRDefault="00E167D7">
            <w:pPr>
              <w:rPr>
                <w:rFonts w:ascii="Times New Roman" w:hAnsi="Times New Roman" w:cs="Times New Roman"/>
                <w:sz w:val="22"/>
                <w:szCs w:val="22"/>
                <w:lang w:val="fr-FR"/>
              </w:rPr>
            </w:pPr>
            <w:r w:rsidRPr="009C711D">
              <w:rPr>
                <w:rFonts w:ascii="Times New Roman" w:hAnsi="Times New Roman" w:cs="Times New Roman"/>
                <w:b/>
                <w:sz w:val="22"/>
                <w:szCs w:val="22"/>
                <w:lang w:val="fr-FR"/>
              </w:rPr>
              <w:t>Thème de la question principale :</w:t>
            </w:r>
            <w:r w:rsidR="00E94CFA" w:rsidRPr="009C711D">
              <w:rPr>
                <w:rFonts w:ascii="Times New Roman" w:hAnsi="Times New Roman" w:cs="Times New Roman"/>
                <w:b/>
                <w:sz w:val="22"/>
                <w:szCs w:val="22"/>
                <w:lang w:val="fr-FR"/>
              </w:rPr>
              <w:t xml:space="preserve"> </w:t>
            </w:r>
            <w:r w:rsidR="00A03170" w:rsidRPr="00A03170">
              <w:rPr>
                <w:rFonts w:ascii="Times New Roman" w:hAnsi="Times New Roman" w:cs="Times New Roman"/>
                <w:b/>
                <w:sz w:val="22"/>
                <w:szCs w:val="22"/>
                <w:lang w:val="fr-FR"/>
              </w:rPr>
              <w:t>Quelle est la place de l’Union Européenne dans l’économie globale ?</w:t>
            </w:r>
          </w:p>
        </w:tc>
      </w:tr>
      <w:tr w:rsidR="00E167D7" w:rsidRPr="00A5316F"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 principale (sur 10 points) :</w:t>
            </w:r>
            <w:r w:rsidR="00A03170">
              <w:rPr>
                <w:rFonts w:ascii="Times New Roman" w:hAnsi="Times New Roman" w:cs="Times New Roman"/>
                <w:b/>
                <w:sz w:val="22"/>
                <w:szCs w:val="22"/>
                <w:lang w:val="fr-FR"/>
              </w:rPr>
              <w:t xml:space="preserve"> Vous analyserez les difficultés de coordination des politiques économiques et Europe.</w:t>
            </w:r>
          </w:p>
        </w:tc>
      </w:tr>
      <w:tr w:rsidR="00E167D7" w:rsidRPr="009C711D"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DB0C6F"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DB0C6F">
              <w:rPr>
                <w:rFonts w:ascii="Times New Roman" w:hAnsi="Times New Roman" w:cs="Times New Roman"/>
                <w:sz w:val="22"/>
                <w:szCs w:val="22"/>
                <w:lang w:val="fr-FR"/>
              </w:rPr>
              <w:t>Donnez la signification des 2 valeurs soulignées. (document 1</w:t>
            </w:r>
            <w:r w:rsidR="00E401A1">
              <w:rPr>
                <w:rFonts w:ascii="Times New Roman" w:hAnsi="Times New Roman" w:cs="Times New Roman"/>
                <w:sz w:val="22"/>
                <w:szCs w:val="22"/>
                <w:lang w:val="fr-FR"/>
              </w:rPr>
              <w:t>)</w:t>
            </w:r>
            <w:r w:rsidR="00DB0C6F">
              <w:rPr>
                <w:rFonts w:ascii="Times New Roman" w:hAnsi="Times New Roman" w:cs="Times New Roman"/>
                <w:sz w:val="22"/>
                <w:szCs w:val="22"/>
                <w:lang w:val="fr-FR"/>
              </w:rPr>
              <w:t>.</w:t>
            </w:r>
            <w:r w:rsidR="00E00F84">
              <w:rPr>
                <w:rFonts w:ascii="Times New Roman" w:hAnsi="Times New Roman" w:cs="Times New Roman"/>
                <w:sz w:val="22"/>
                <w:szCs w:val="22"/>
                <w:lang w:val="fr-FR"/>
              </w:rPr>
              <w:t xml:space="preserve"> </w:t>
            </w:r>
            <w:r w:rsidR="0091167A">
              <w:rPr>
                <w:rFonts w:ascii="Times New Roman" w:hAnsi="Times New Roman" w:cs="Times New Roman"/>
                <w:sz w:val="22"/>
                <w:szCs w:val="22"/>
                <w:lang w:val="fr-FR"/>
              </w:rPr>
              <w:t>(4 points)</w:t>
            </w:r>
          </w:p>
        </w:tc>
      </w:tr>
      <w:tr w:rsidR="00E167D7" w:rsidRPr="00A03170"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A03170">
              <w:rPr>
                <w:rFonts w:ascii="Times New Roman" w:hAnsi="Times New Roman" w:cs="Times New Roman"/>
                <w:sz w:val="22"/>
                <w:szCs w:val="22"/>
                <w:lang w:val="fr-FR"/>
              </w:rPr>
              <w:t xml:space="preserve">En quoi l’évolution du travail </w:t>
            </w:r>
            <w:r w:rsidR="00E401A1">
              <w:rPr>
                <w:rFonts w:ascii="Times New Roman" w:hAnsi="Times New Roman" w:cs="Times New Roman"/>
                <w:sz w:val="22"/>
                <w:szCs w:val="22"/>
                <w:lang w:val="fr-FR"/>
              </w:rPr>
              <w:t>dans les sociétés contemporaines</w:t>
            </w:r>
            <w:r w:rsidR="0091167A">
              <w:rPr>
                <w:rFonts w:ascii="Times New Roman" w:hAnsi="Times New Roman" w:cs="Times New Roman"/>
                <w:sz w:val="22"/>
                <w:szCs w:val="22"/>
                <w:lang w:val="fr-FR"/>
              </w:rPr>
              <w:t xml:space="preserve"> peut-</w:t>
            </w:r>
            <w:r w:rsidR="00A03170">
              <w:rPr>
                <w:rFonts w:ascii="Times New Roman" w:hAnsi="Times New Roman" w:cs="Times New Roman"/>
                <w:sz w:val="22"/>
                <w:szCs w:val="22"/>
                <w:lang w:val="fr-FR"/>
              </w:rPr>
              <w:t>elle remettre en cause sa fonction d’intégration sociale ?</w:t>
            </w:r>
            <w:r w:rsidR="0091167A">
              <w:rPr>
                <w:rFonts w:ascii="Times New Roman" w:hAnsi="Times New Roman" w:cs="Times New Roman"/>
                <w:sz w:val="22"/>
                <w:szCs w:val="22"/>
                <w:lang w:val="fr-FR"/>
              </w:rPr>
              <w:t xml:space="preserve">  (3 points)</w:t>
            </w:r>
          </w:p>
        </w:tc>
      </w:tr>
      <w:tr w:rsidR="00E167D7" w:rsidRPr="0091167A"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91167A">
              <w:rPr>
                <w:rFonts w:ascii="Times New Roman" w:hAnsi="Times New Roman" w:cs="Times New Roman"/>
                <w:sz w:val="22"/>
                <w:szCs w:val="22"/>
                <w:lang w:val="fr-FR"/>
              </w:rPr>
              <w:t xml:space="preserve"> Comment la fiscalité permet-elle de contribuer à la justice sociale ? (3 points)</w:t>
            </w:r>
          </w:p>
        </w:tc>
      </w:tr>
    </w:tbl>
    <w:p w:rsidR="001A16C8" w:rsidRPr="009C711D" w:rsidRDefault="001A16C8">
      <w:pPr>
        <w:rPr>
          <w:rFonts w:ascii="Times New Roman" w:hAnsi="Times New Roman"/>
          <w:sz w:val="22"/>
          <w:szCs w:val="22"/>
          <w:lang w:val="fr-FR"/>
        </w:rPr>
      </w:pPr>
    </w:p>
    <w:p w:rsidR="001A16C8" w:rsidRPr="00000503"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000503">
        <w:rPr>
          <w:rFonts w:ascii="Times New Roman" w:hAnsi="Times New Roman"/>
          <w:b/>
          <w:color w:val="000000"/>
          <w:sz w:val="22"/>
          <w:szCs w:val="22"/>
          <w:lang w:val="fr-FR"/>
        </w:rPr>
        <w:t>DOCUMENT 1</w:t>
      </w:r>
    </w:p>
    <w:p w:rsidR="00A03170" w:rsidRPr="009C711D" w:rsidRDefault="00A031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E00F84" w:rsidRDefault="00E00F84" w:rsidP="00E00F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Pr>
          <w:rFonts w:ascii="Times New Roman" w:hAnsi="Times New Roman" w:cs="Times New Roman"/>
          <w:color w:val="000000"/>
          <w:sz w:val="22"/>
          <w:szCs w:val="22"/>
          <w:lang w:val="fr-FR"/>
        </w:rPr>
        <w:t>Les impacts des politiques budgétaires sur la croissance du PIB, en points de PIB.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4"/>
        <w:gridCol w:w="2444"/>
        <w:gridCol w:w="2445"/>
        <w:gridCol w:w="2445"/>
      </w:tblGrid>
      <w:tr w:rsidR="00E00F84" w:rsidRPr="00E00F84" w:rsidTr="00E00F84">
        <w:tc>
          <w:tcPr>
            <w:tcW w:w="2444" w:type="dxa"/>
          </w:tcPr>
          <w:p w:rsidR="00E00F84" w:rsidRPr="00E00F84" w:rsidRDefault="00E00F84" w:rsidP="00E00F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 w:val="22"/>
                <w:szCs w:val="22"/>
                <w:lang w:val="fr-FR"/>
              </w:rPr>
            </w:pPr>
          </w:p>
        </w:tc>
        <w:tc>
          <w:tcPr>
            <w:tcW w:w="2444"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b/>
                <w:color w:val="000000"/>
                <w:sz w:val="22"/>
                <w:szCs w:val="22"/>
                <w:lang w:val="fr-FR"/>
              </w:rPr>
            </w:pPr>
            <w:r w:rsidRPr="00E00F84">
              <w:rPr>
                <w:rFonts w:ascii="Times New Roman" w:hAnsi="Times New Roman" w:cs="Times New Roman"/>
                <w:b/>
                <w:color w:val="000000"/>
                <w:sz w:val="22"/>
                <w:szCs w:val="22"/>
                <w:lang w:val="fr-FR"/>
              </w:rPr>
              <w:t>2012</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b/>
                <w:color w:val="000000"/>
                <w:sz w:val="22"/>
                <w:szCs w:val="22"/>
                <w:lang w:val="fr-FR"/>
              </w:rPr>
            </w:pPr>
            <w:r w:rsidRPr="00E00F84">
              <w:rPr>
                <w:rFonts w:ascii="Times New Roman" w:hAnsi="Times New Roman" w:cs="Times New Roman"/>
                <w:b/>
                <w:color w:val="000000"/>
                <w:sz w:val="22"/>
                <w:szCs w:val="22"/>
                <w:lang w:val="fr-FR"/>
              </w:rPr>
              <w:t>2013</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b/>
                <w:color w:val="000000"/>
                <w:sz w:val="22"/>
                <w:szCs w:val="22"/>
                <w:lang w:val="fr-FR"/>
              </w:rPr>
            </w:pPr>
            <w:r w:rsidRPr="00E00F84">
              <w:rPr>
                <w:rFonts w:ascii="Times New Roman" w:hAnsi="Times New Roman" w:cs="Times New Roman"/>
                <w:b/>
                <w:color w:val="000000"/>
                <w:sz w:val="22"/>
                <w:szCs w:val="22"/>
                <w:lang w:val="fr-FR"/>
              </w:rPr>
              <w:t>2014</w:t>
            </w:r>
          </w:p>
        </w:tc>
      </w:tr>
      <w:tr w:rsidR="00E00F84" w:rsidRPr="00E00F84" w:rsidTr="00E00F84">
        <w:tc>
          <w:tcPr>
            <w:tcW w:w="2444" w:type="dxa"/>
          </w:tcPr>
          <w:p w:rsidR="00E00F84" w:rsidRPr="00E00F84" w:rsidRDefault="00E00F84" w:rsidP="00E00F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 w:val="22"/>
                <w:szCs w:val="22"/>
                <w:lang w:val="fr-FR"/>
              </w:rPr>
            </w:pPr>
            <w:r w:rsidRPr="00E00F84">
              <w:rPr>
                <w:rFonts w:ascii="Times New Roman" w:hAnsi="Times New Roman" w:cs="Times New Roman"/>
                <w:b/>
                <w:color w:val="000000"/>
                <w:sz w:val="22"/>
                <w:szCs w:val="22"/>
                <w:lang w:val="fr-FR"/>
              </w:rPr>
              <w:t>Allemagne</w:t>
            </w:r>
          </w:p>
        </w:tc>
        <w:tc>
          <w:tcPr>
            <w:tcW w:w="2444"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- 1.0</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0.0</w:t>
            </w:r>
          </w:p>
        </w:tc>
        <w:tc>
          <w:tcPr>
            <w:tcW w:w="2445" w:type="dxa"/>
          </w:tcPr>
          <w:p w:rsidR="00E00F84" w:rsidRPr="00DB0C6F"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b/>
                <w:color w:val="000000"/>
                <w:sz w:val="22"/>
                <w:szCs w:val="22"/>
                <w:u w:val="single"/>
                <w:lang w:val="fr-FR"/>
              </w:rPr>
            </w:pPr>
            <w:r w:rsidRPr="00DB0C6F">
              <w:rPr>
                <w:rFonts w:ascii="Times New Roman" w:hAnsi="Times New Roman" w:cs="Times New Roman"/>
                <w:b/>
                <w:color w:val="000000"/>
                <w:sz w:val="22"/>
                <w:szCs w:val="22"/>
                <w:u w:val="single"/>
                <w:lang w:val="fr-FR"/>
              </w:rPr>
              <w:t>+ 0.3</w:t>
            </w:r>
          </w:p>
        </w:tc>
      </w:tr>
      <w:tr w:rsidR="00E00F84" w:rsidRPr="00E00F84" w:rsidTr="00E00F84">
        <w:tc>
          <w:tcPr>
            <w:tcW w:w="2444" w:type="dxa"/>
          </w:tcPr>
          <w:p w:rsidR="00E00F84" w:rsidRPr="00E00F84" w:rsidRDefault="00E00F84" w:rsidP="00E00F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 w:val="22"/>
                <w:szCs w:val="22"/>
                <w:lang w:val="fr-FR"/>
              </w:rPr>
            </w:pPr>
            <w:r w:rsidRPr="00E00F84">
              <w:rPr>
                <w:rFonts w:ascii="Times New Roman" w:hAnsi="Times New Roman" w:cs="Times New Roman"/>
                <w:b/>
                <w:color w:val="000000"/>
                <w:sz w:val="22"/>
                <w:szCs w:val="22"/>
                <w:lang w:val="fr-FR"/>
              </w:rPr>
              <w:t>France</w:t>
            </w:r>
          </w:p>
        </w:tc>
        <w:tc>
          <w:tcPr>
            <w:tcW w:w="2444"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- 1.1</w:t>
            </w:r>
          </w:p>
        </w:tc>
        <w:tc>
          <w:tcPr>
            <w:tcW w:w="2445" w:type="dxa"/>
          </w:tcPr>
          <w:p w:rsidR="00E00F84" w:rsidRPr="00DB0C6F"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b/>
                <w:color w:val="000000"/>
                <w:sz w:val="22"/>
                <w:szCs w:val="22"/>
                <w:u w:val="single"/>
                <w:lang w:val="fr-FR"/>
              </w:rPr>
            </w:pPr>
            <w:r w:rsidRPr="00DB0C6F">
              <w:rPr>
                <w:rFonts w:ascii="Times New Roman" w:hAnsi="Times New Roman" w:cs="Times New Roman"/>
                <w:b/>
                <w:color w:val="000000"/>
                <w:sz w:val="22"/>
                <w:szCs w:val="22"/>
                <w:u w:val="single"/>
                <w:lang w:val="fr-FR"/>
              </w:rPr>
              <w:t>- 1.2</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- 0.7</w:t>
            </w:r>
          </w:p>
        </w:tc>
      </w:tr>
      <w:tr w:rsidR="00E00F84" w:rsidRPr="00E00F84" w:rsidTr="00E00F84">
        <w:tc>
          <w:tcPr>
            <w:tcW w:w="2444" w:type="dxa"/>
          </w:tcPr>
          <w:p w:rsidR="00E00F84" w:rsidRPr="00E00F84" w:rsidRDefault="00E00F84" w:rsidP="00E00F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 w:val="22"/>
                <w:szCs w:val="22"/>
                <w:lang w:val="fr-FR"/>
              </w:rPr>
            </w:pPr>
            <w:r w:rsidRPr="00E00F84">
              <w:rPr>
                <w:rFonts w:ascii="Times New Roman" w:hAnsi="Times New Roman" w:cs="Times New Roman"/>
                <w:b/>
                <w:color w:val="000000"/>
                <w:sz w:val="22"/>
                <w:szCs w:val="22"/>
                <w:lang w:val="fr-FR"/>
              </w:rPr>
              <w:t>Italie</w:t>
            </w:r>
          </w:p>
        </w:tc>
        <w:tc>
          <w:tcPr>
            <w:tcW w:w="2444"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- 2.7</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- 0.4</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+ 0.4</w:t>
            </w:r>
          </w:p>
        </w:tc>
      </w:tr>
      <w:tr w:rsidR="00E00F84" w:rsidRPr="00E00F84" w:rsidTr="00E00F84">
        <w:tc>
          <w:tcPr>
            <w:tcW w:w="2444" w:type="dxa"/>
          </w:tcPr>
          <w:p w:rsidR="00E00F84" w:rsidRPr="00E00F84" w:rsidRDefault="00E00F84" w:rsidP="00E00F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 w:val="22"/>
                <w:szCs w:val="22"/>
                <w:lang w:val="fr-FR"/>
              </w:rPr>
            </w:pPr>
            <w:r w:rsidRPr="00E00F84">
              <w:rPr>
                <w:rFonts w:ascii="Times New Roman" w:hAnsi="Times New Roman" w:cs="Times New Roman"/>
                <w:b/>
                <w:color w:val="000000"/>
                <w:sz w:val="22"/>
                <w:szCs w:val="22"/>
                <w:lang w:val="fr-FR"/>
              </w:rPr>
              <w:t>Espagne</w:t>
            </w:r>
          </w:p>
        </w:tc>
        <w:tc>
          <w:tcPr>
            <w:tcW w:w="2444"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- 3.7</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- 1.6</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- 0.6</w:t>
            </w:r>
          </w:p>
        </w:tc>
      </w:tr>
      <w:tr w:rsidR="00E00F84" w:rsidRPr="00E00F84" w:rsidTr="00E00F84">
        <w:tc>
          <w:tcPr>
            <w:tcW w:w="2444" w:type="dxa"/>
          </w:tcPr>
          <w:p w:rsidR="00E00F84" w:rsidRPr="00E00F84" w:rsidRDefault="00E00F84" w:rsidP="00E00F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 w:val="22"/>
                <w:szCs w:val="22"/>
                <w:lang w:val="fr-FR"/>
              </w:rPr>
            </w:pPr>
            <w:r w:rsidRPr="00E00F84">
              <w:rPr>
                <w:rFonts w:ascii="Times New Roman" w:hAnsi="Times New Roman" w:cs="Times New Roman"/>
                <w:b/>
                <w:color w:val="000000"/>
                <w:sz w:val="22"/>
                <w:szCs w:val="22"/>
                <w:lang w:val="fr-FR"/>
              </w:rPr>
              <w:t>Pays-Bas</w:t>
            </w:r>
          </w:p>
        </w:tc>
        <w:tc>
          <w:tcPr>
            <w:tcW w:w="2444"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- 1.1</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- 1.2</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- 1.0</w:t>
            </w:r>
          </w:p>
        </w:tc>
      </w:tr>
      <w:tr w:rsidR="00E00F84" w:rsidRPr="00E00F84" w:rsidTr="00E00F84">
        <w:tc>
          <w:tcPr>
            <w:tcW w:w="2444" w:type="dxa"/>
          </w:tcPr>
          <w:p w:rsidR="00E00F84" w:rsidRPr="00E00F84" w:rsidRDefault="00E00F84" w:rsidP="00E00F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 w:val="22"/>
                <w:szCs w:val="22"/>
                <w:lang w:val="fr-FR"/>
              </w:rPr>
            </w:pPr>
            <w:r w:rsidRPr="00E00F84">
              <w:rPr>
                <w:rFonts w:ascii="Times New Roman" w:hAnsi="Times New Roman" w:cs="Times New Roman"/>
                <w:b/>
                <w:color w:val="000000"/>
                <w:sz w:val="22"/>
                <w:szCs w:val="22"/>
                <w:lang w:val="fr-FR"/>
              </w:rPr>
              <w:t>Belgique</w:t>
            </w:r>
          </w:p>
        </w:tc>
        <w:tc>
          <w:tcPr>
            <w:tcW w:w="2444"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- 0.7</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- 0.9</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- 0.5</w:t>
            </w:r>
          </w:p>
        </w:tc>
      </w:tr>
      <w:tr w:rsidR="00E00F84" w:rsidRPr="00E00F84" w:rsidTr="00E00F84">
        <w:tc>
          <w:tcPr>
            <w:tcW w:w="2444" w:type="dxa"/>
          </w:tcPr>
          <w:p w:rsidR="00E00F84" w:rsidRPr="00E00F84" w:rsidRDefault="00DB0C6F" w:rsidP="00E00F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 w:val="22"/>
                <w:szCs w:val="22"/>
                <w:lang w:val="fr-FR"/>
              </w:rPr>
            </w:pPr>
            <w:r w:rsidRPr="00E00F84">
              <w:rPr>
                <w:rFonts w:ascii="Times New Roman" w:hAnsi="Times New Roman" w:cs="Times New Roman"/>
                <w:b/>
                <w:color w:val="000000"/>
                <w:sz w:val="22"/>
                <w:szCs w:val="22"/>
                <w:lang w:val="fr-FR"/>
              </w:rPr>
              <w:t>Irlande</w:t>
            </w:r>
          </w:p>
        </w:tc>
        <w:tc>
          <w:tcPr>
            <w:tcW w:w="2444"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- 1.9</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- 2.1</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- 1.8</w:t>
            </w:r>
          </w:p>
        </w:tc>
      </w:tr>
      <w:tr w:rsidR="00E00F84" w:rsidRPr="00E00F84" w:rsidTr="00E00F84">
        <w:tc>
          <w:tcPr>
            <w:tcW w:w="2444" w:type="dxa"/>
          </w:tcPr>
          <w:p w:rsidR="00E00F84" w:rsidRPr="00E00F84" w:rsidRDefault="00E00F84" w:rsidP="00E00F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 w:val="22"/>
                <w:szCs w:val="22"/>
                <w:lang w:val="fr-FR"/>
              </w:rPr>
            </w:pPr>
            <w:r w:rsidRPr="00E00F84">
              <w:rPr>
                <w:rFonts w:ascii="Times New Roman" w:hAnsi="Times New Roman" w:cs="Times New Roman"/>
                <w:b/>
                <w:color w:val="000000"/>
                <w:sz w:val="22"/>
                <w:szCs w:val="22"/>
                <w:lang w:val="fr-FR"/>
              </w:rPr>
              <w:t>Portugal</w:t>
            </w:r>
          </w:p>
        </w:tc>
        <w:tc>
          <w:tcPr>
            <w:tcW w:w="2444"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- 3.7</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- 2.1</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- 0.5</w:t>
            </w:r>
          </w:p>
        </w:tc>
      </w:tr>
      <w:tr w:rsidR="00E00F84" w:rsidRPr="00E00F84" w:rsidTr="00E00F84">
        <w:tc>
          <w:tcPr>
            <w:tcW w:w="2444" w:type="dxa"/>
          </w:tcPr>
          <w:p w:rsidR="00E00F84" w:rsidRPr="00E00F84" w:rsidRDefault="00E00F84" w:rsidP="00E00F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 w:val="22"/>
                <w:szCs w:val="22"/>
                <w:lang w:val="fr-FR"/>
              </w:rPr>
            </w:pPr>
            <w:r w:rsidRPr="00E00F84">
              <w:rPr>
                <w:rFonts w:ascii="Times New Roman" w:hAnsi="Times New Roman" w:cs="Times New Roman"/>
                <w:b/>
                <w:color w:val="000000"/>
                <w:sz w:val="22"/>
                <w:szCs w:val="22"/>
                <w:lang w:val="fr-FR"/>
              </w:rPr>
              <w:t>Grèce</w:t>
            </w:r>
          </w:p>
        </w:tc>
        <w:tc>
          <w:tcPr>
            <w:tcW w:w="2444"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- 5.4</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- 1.7</w:t>
            </w:r>
          </w:p>
        </w:tc>
        <w:tc>
          <w:tcPr>
            <w:tcW w:w="2445" w:type="dxa"/>
          </w:tcPr>
          <w:p w:rsidR="00E00F84" w:rsidRPr="00E00F84" w:rsidRDefault="00E00F84" w:rsidP="00DB0C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s="Times New Roman"/>
                <w:color w:val="000000"/>
                <w:sz w:val="22"/>
                <w:szCs w:val="22"/>
                <w:lang w:val="fr-FR"/>
              </w:rPr>
            </w:pPr>
            <w:r w:rsidRPr="00E00F84">
              <w:rPr>
                <w:rFonts w:ascii="Times New Roman" w:hAnsi="Times New Roman" w:cs="Times New Roman"/>
                <w:color w:val="000000"/>
                <w:sz w:val="22"/>
                <w:szCs w:val="22"/>
                <w:lang w:val="fr-FR"/>
              </w:rPr>
              <w:t>- 1.3</w:t>
            </w:r>
          </w:p>
        </w:tc>
      </w:tr>
    </w:tbl>
    <w:p w:rsidR="00E00F84" w:rsidRDefault="00E00F84" w:rsidP="00E00F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right"/>
        <w:rPr>
          <w:rFonts w:ascii="Times New Roman" w:hAnsi="Times New Roman" w:cs="Times New Roman"/>
          <w:color w:val="000000"/>
          <w:sz w:val="22"/>
          <w:szCs w:val="22"/>
          <w:lang w:val="fr-FR"/>
        </w:rPr>
      </w:pPr>
      <w:r>
        <w:rPr>
          <w:rFonts w:ascii="Times New Roman" w:hAnsi="Times New Roman" w:cs="Times New Roman"/>
          <w:color w:val="000000"/>
          <w:sz w:val="22"/>
          <w:szCs w:val="22"/>
          <w:lang w:val="fr-FR"/>
        </w:rPr>
        <w:t>Eurostat, prévisions OFCE, avril 2014.</w:t>
      </w:r>
    </w:p>
    <w:p w:rsidR="00E00F84" w:rsidRDefault="00E00F84" w:rsidP="00E00F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 w:val="22"/>
          <w:szCs w:val="22"/>
          <w:lang w:val="fr-FR"/>
        </w:rPr>
      </w:pPr>
    </w:p>
    <w:p w:rsidR="00B80B45" w:rsidRPr="009C711D" w:rsidRDefault="00B80B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B80B45" w:rsidRPr="00000503"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000503">
        <w:rPr>
          <w:rFonts w:ascii="Times New Roman" w:hAnsi="Times New Roman"/>
          <w:b/>
          <w:color w:val="000000"/>
          <w:sz w:val="22"/>
          <w:szCs w:val="22"/>
          <w:lang w:val="fr-FR"/>
        </w:rPr>
        <w:t>DOCUMENT 2</w:t>
      </w:r>
    </w:p>
    <w:p w:rsidR="00A03170" w:rsidRDefault="00A031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A03170" w:rsidRDefault="00A03170" w:rsidP="00A031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Pr>
          <w:rFonts w:ascii="Times New Roman" w:hAnsi="Times New Roman"/>
          <w:color w:val="000000"/>
          <w:sz w:val="22"/>
          <w:szCs w:val="22"/>
          <w:lang w:val="fr-FR"/>
        </w:rPr>
        <w:t>Les critères de Maastricht et le Pacte de stabilité ont privilégié la convergence nominale (taux d’inflation, taux d’intérêt, déficit public et dette publique), mais pas la convergence réelle des économies européennes. La croissance reste hétérogène dans la zone euro (...) : -5% de recul du PIB en Allemagne en 2009, -2.5% en France et -4.1% pour la moyenne de la zone euro. (...). Du côté des finances publiques en 2009, les déficits publics de la zone euro s’étalaient de 0.7% du PIB pour le Luxembourg à 14.3% pour l’Irlande, avec une moyenne à 6.3%. Une amplitude qui se retrouve dans les ratios de la dette publique : 14.5%</w:t>
      </w:r>
      <w:r w:rsidR="00E00F84">
        <w:rPr>
          <w:rFonts w:ascii="Times New Roman" w:hAnsi="Times New Roman"/>
          <w:color w:val="000000"/>
          <w:sz w:val="22"/>
          <w:szCs w:val="22"/>
          <w:lang w:val="fr-FR"/>
        </w:rPr>
        <w:t xml:space="preserve"> du PIB</w:t>
      </w:r>
      <w:r>
        <w:rPr>
          <w:rFonts w:ascii="Times New Roman" w:hAnsi="Times New Roman"/>
          <w:color w:val="000000"/>
          <w:sz w:val="22"/>
          <w:szCs w:val="22"/>
          <w:lang w:val="fr-FR"/>
        </w:rPr>
        <w:t xml:space="preserve"> pour le Luxembourg, environ </w:t>
      </w:r>
      <w:r w:rsidRPr="00DB0C6F">
        <w:rPr>
          <w:rFonts w:ascii="Times New Roman" w:hAnsi="Times New Roman"/>
          <w:color w:val="000000"/>
          <w:sz w:val="22"/>
          <w:szCs w:val="22"/>
          <w:lang w:val="fr-FR"/>
        </w:rPr>
        <w:t>115%</w:t>
      </w:r>
      <w:r>
        <w:rPr>
          <w:rFonts w:ascii="Times New Roman" w:hAnsi="Times New Roman"/>
          <w:color w:val="000000"/>
          <w:sz w:val="22"/>
          <w:szCs w:val="22"/>
          <w:lang w:val="fr-FR"/>
        </w:rPr>
        <w:t xml:space="preserve"> pour la Grèce et l’Italie. Même si tous les pays membres ont pris des engagements  pour revenir vers la limite de 3% du PIB de déficit public, on peut penser que la dispersion ne va pas disparaître rapidement. Puis, dans l’UEM, l’hétérogénéité des taux d’intérêt reflète celle des performances économiques.</w:t>
      </w:r>
    </w:p>
    <w:p w:rsidR="00A03170" w:rsidRPr="00A03170" w:rsidRDefault="00A03170" w:rsidP="00A031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right"/>
        <w:rPr>
          <w:rFonts w:ascii="Times New Roman" w:hAnsi="Times New Roman"/>
          <w:color w:val="000000"/>
          <w:sz w:val="22"/>
          <w:szCs w:val="22"/>
          <w:lang w:val="fr-FR"/>
        </w:rPr>
      </w:pPr>
      <w:r>
        <w:rPr>
          <w:rFonts w:ascii="Times New Roman" w:hAnsi="Times New Roman"/>
          <w:color w:val="000000"/>
          <w:sz w:val="22"/>
          <w:szCs w:val="22"/>
          <w:lang w:val="fr-FR"/>
        </w:rPr>
        <w:t xml:space="preserve">C. de BOISSIEU, </w:t>
      </w:r>
      <w:r>
        <w:rPr>
          <w:rFonts w:ascii="Times New Roman" w:hAnsi="Times New Roman"/>
          <w:i/>
          <w:color w:val="000000"/>
          <w:sz w:val="22"/>
          <w:szCs w:val="22"/>
          <w:lang w:val="fr-FR"/>
        </w:rPr>
        <w:t>Sociétal</w:t>
      </w:r>
      <w:r>
        <w:rPr>
          <w:rFonts w:ascii="Times New Roman" w:hAnsi="Times New Roman"/>
          <w:color w:val="000000"/>
          <w:sz w:val="22"/>
          <w:szCs w:val="22"/>
          <w:lang w:val="fr-FR"/>
        </w:rPr>
        <w:t>, n°71, 2011.</w:t>
      </w:r>
    </w:p>
    <w:sectPr w:rsidR="00A03170" w:rsidRPr="00A03170" w:rsidSect="007979AC">
      <w:footerReference w:type="default" r:id="rId6"/>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CAE" w:rsidRDefault="00105CAE" w:rsidP="009C711D">
      <w:r>
        <w:separator/>
      </w:r>
    </w:p>
  </w:endnote>
  <w:endnote w:type="continuationSeparator" w:id="0">
    <w:p w:rsidR="00105CAE" w:rsidRDefault="00105CAE"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CAE" w:rsidRDefault="00105CAE" w:rsidP="009C711D">
      <w:r>
        <w:separator/>
      </w:r>
    </w:p>
  </w:footnote>
  <w:footnote w:type="continuationSeparator" w:id="0">
    <w:p w:rsidR="00105CAE" w:rsidRDefault="00105CAE"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7D7"/>
    <w:rsid w:val="00000503"/>
    <w:rsid w:val="00042E65"/>
    <w:rsid w:val="00081244"/>
    <w:rsid w:val="00105CAE"/>
    <w:rsid w:val="001A16C8"/>
    <w:rsid w:val="001A6141"/>
    <w:rsid w:val="004054BB"/>
    <w:rsid w:val="00500C8B"/>
    <w:rsid w:val="005F742A"/>
    <w:rsid w:val="006023D7"/>
    <w:rsid w:val="006A3008"/>
    <w:rsid w:val="007979AC"/>
    <w:rsid w:val="0091167A"/>
    <w:rsid w:val="009C711D"/>
    <w:rsid w:val="00A03170"/>
    <w:rsid w:val="00A5316F"/>
    <w:rsid w:val="00AC472F"/>
    <w:rsid w:val="00AE6E4C"/>
    <w:rsid w:val="00B80B45"/>
    <w:rsid w:val="00D57456"/>
    <w:rsid w:val="00DB0C6F"/>
    <w:rsid w:val="00E00F84"/>
    <w:rsid w:val="00E167D7"/>
    <w:rsid w:val="00E401A1"/>
    <w:rsid w:val="00E94C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24942DC1-9CFD-4A32-B919-4CF8D42C4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9AC"/>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rsid w:val="007979AC"/>
  </w:style>
  <w:style w:type="character" w:customStyle="1" w:styleId="WW-Absatz-Standardschriftart">
    <w:name w:val="WW-Absatz-Standardschriftart"/>
    <w:rsid w:val="007979AC"/>
  </w:style>
  <w:style w:type="character" w:customStyle="1" w:styleId="Policepardfaut1">
    <w:name w:val="Police par défaut1"/>
    <w:rsid w:val="007979AC"/>
  </w:style>
  <w:style w:type="paragraph" w:customStyle="1" w:styleId="Titre10">
    <w:name w:val="Titre1"/>
    <w:basedOn w:val="Normal"/>
    <w:next w:val="Corpsdetexte"/>
    <w:rsid w:val="007979AC"/>
    <w:pPr>
      <w:keepNext/>
      <w:spacing w:before="240" w:after="120"/>
    </w:pPr>
    <w:rPr>
      <w:rFonts w:ascii="Arial" w:eastAsia="Arial Unicode MS" w:hAnsi="Arial" w:cs="Arial Unicode MS"/>
      <w:sz w:val="28"/>
      <w:szCs w:val="28"/>
    </w:rPr>
  </w:style>
  <w:style w:type="paragraph" w:styleId="Corpsdetexte">
    <w:name w:val="Body Text"/>
    <w:basedOn w:val="Normal"/>
    <w:rsid w:val="007979AC"/>
    <w:pPr>
      <w:spacing w:after="120"/>
    </w:pPr>
  </w:style>
  <w:style w:type="paragraph" w:styleId="Liste">
    <w:name w:val="List"/>
    <w:basedOn w:val="Corpsdetexte"/>
    <w:rsid w:val="007979AC"/>
  </w:style>
  <w:style w:type="paragraph" w:customStyle="1" w:styleId="Lgende1">
    <w:name w:val="Légende1"/>
    <w:basedOn w:val="Normal"/>
    <w:rsid w:val="007979AC"/>
    <w:pPr>
      <w:suppressLineNumbers/>
      <w:spacing w:before="120" w:after="120"/>
    </w:pPr>
    <w:rPr>
      <w:i/>
      <w:iCs/>
      <w:szCs w:val="24"/>
    </w:rPr>
  </w:style>
  <w:style w:type="paragraph" w:customStyle="1" w:styleId="Index">
    <w:name w:val="Index"/>
    <w:basedOn w:val="Normal"/>
    <w:rsid w:val="007979AC"/>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basedOn w:val="Policepardfaut"/>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basedOn w:val="Policepardfaut"/>
    <w:link w:val="Pieddepage"/>
    <w:uiPriority w:val="99"/>
    <w:semiHidden/>
    <w:rsid w:val="009C711D"/>
    <w:rPr>
      <w:rFonts w:ascii="Helvetica" w:eastAsia="Helvetica" w:hAnsi="Helvetica" w:cs="Mangal"/>
      <w:sz w:val="2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370</Words>
  <Characters>2037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5</cp:revision>
  <cp:lastPrinted>2016-01-07T14:30:00Z</cp:lastPrinted>
  <dcterms:created xsi:type="dcterms:W3CDTF">2016-01-07T19:20:00Z</dcterms:created>
  <dcterms:modified xsi:type="dcterms:W3CDTF">2016-04-30T13:59:00Z</dcterms:modified>
</cp:coreProperties>
</file>