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7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9"/>
        <w:gridCol w:w="3259"/>
        <w:gridCol w:w="3259"/>
      </w:tblGrid>
      <w:tr w:rsidR="00A41072"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072" w:rsidRPr="003556DF" w:rsidRDefault="00383FD5">
            <w:pPr>
              <w:pStyle w:val="Standard"/>
              <w:rPr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Académie d'AMIENS Baccalauréat ES</w:t>
            </w:r>
          </w:p>
          <w:p w:rsidR="00A41072" w:rsidRPr="003556DF" w:rsidRDefault="00383FD5">
            <w:pPr>
              <w:pStyle w:val="Standard"/>
              <w:rPr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Session 2016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072" w:rsidRPr="003556DF" w:rsidRDefault="00383FD5">
            <w:pPr>
              <w:pStyle w:val="Standard"/>
              <w:jc w:val="center"/>
              <w:rPr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Epreuve orale de Sciences économiques et sociales (Enseignement spécifique :</w:t>
            </w:r>
          </w:p>
          <w:p w:rsidR="00A41072" w:rsidRDefault="00383FD5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coefficient 7)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072" w:rsidRDefault="00383FD5">
            <w:pPr>
              <w:pStyle w:val="Standard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N° du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sujet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: 16c7-</w:t>
            </w:r>
            <w:r w:rsidR="002B702E">
              <w:rPr>
                <w:rFonts w:ascii="Times New Roman" w:hAnsi="Times New Roman" w:cs="Times New Roman"/>
                <w:b/>
                <w:sz w:val="22"/>
                <w:szCs w:val="22"/>
              </w:rPr>
              <w:t>322.3</w:t>
            </w:r>
          </w:p>
        </w:tc>
      </w:tr>
      <w:tr w:rsidR="00A41072"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072" w:rsidRPr="003556DF" w:rsidRDefault="00383FD5">
            <w:pPr>
              <w:pStyle w:val="Standard"/>
              <w:rPr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Durée de la préparation : 30 minutes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072" w:rsidRPr="003556DF" w:rsidRDefault="00383FD5">
            <w:pPr>
              <w:pStyle w:val="Standard"/>
              <w:jc w:val="center"/>
              <w:rPr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Le candidat s’appuiera sur les 2 documents pour répondre à la question principale.</w:t>
            </w:r>
          </w:p>
          <w:p w:rsidR="00A41072" w:rsidRPr="003556DF" w:rsidRDefault="00383FD5">
            <w:pPr>
              <w:pStyle w:val="Standard"/>
              <w:jc w:val="center"/>
              <w:rPr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Les question</w:t>
            </w:r>
            <w:r w:rsidR="003556DF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s complémentaires 2 et 3 porte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nt sur d’autres thèmes du programme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072" w:rsidRDefault="00383FD5">
            <w:pPr>
              <w:pStyle w:val="Standard"/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Durée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l'interrogation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: 20 minutes</w:t>
            </w:r>
          </w:p>
        </w:tc>
      </w:tr>
      <w:tr w:rsidR="00A41072">
        <w:tc>
          <w:tcPr>
            <w:tcW w:w="97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072" w:rsidRPr="003556DF" w:rsidRDefault="00383FD5">
            <w:pPr>
              <w:pStyle w:val="Standard"/>
              <w:rPr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Thème de la question principale : Quelles politiques pour l'emploi ?</w:t>
            </w:r>
          </w:p>
        </w:tc>
      </w:tr>
      <w:tr w:rsidR="00A41072">
        <w:tc>
          <w:tcPr>
            <w:tcW w:w="97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072" w:rsidRPr="003556DF" w:rsidRDefault="00383FD5">
            <w:pPr>
              <w:pStyle w:val="Standard"/>
              <w:rPr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Question principale (sur 10 points) : Montrer que certaines évolutions de l'emploi fragilisent le lien entre travail et intégration sociale.</w:t>
            </w:r>
          </w:p>
        </w:tc>
      </w:tr>
      <w:tr w:rsidR="00A41072">
        <w:tc>
          <w:tcPr>
            <w:tcW w:w="97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072" w:rsidRDefault="00383FD5">
            <w:pPr>
              <w:pStyle w:val="Standard"/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Questions complémentaires (sur 10 points) :</w:t>
            </w:r>
          </w:p>
        </w:tc>
      </w:tr>
      <w:tr w:rsidR="00A41072">
        <w:tc>
          <w:tcPr>
            <w:tcW w:w="97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072" w:rsidRPr="003556DF" w:rsidRDefault="003556DF">
            <w:pPr>
              <w:pStyle w:val="Standard"/>
              <w:rPr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1) Interpréter les 2 données</w:t>
            </w:r>
            <w:r w:rsidR="00383FD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soulignée</w:t>
            </w: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s. (document 1). (</w:t>
            </w:r>
            <w:r w:rsidR="00383FD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4 points)</w:t>
            </w:r>
          </w:p>
        </w:tc>
      </w:tr>
      <w:tr w:rsidR="00A41072">
        <w:tc>
          <w:tcPr>
            <w:tcW w:w="97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072" w:rsidRPr="003556DF" w:rsidRDefault="00383FD5">
            <w:pPr>
              <w:pStyle w:val="Standard"/>
              <w:rPr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2)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fr-FR"/>
              </w:rPr>
              <w:t>Présenter les limites du PIB. (3 points)</w:t>
            </w:r>
          </w:p>
        </w:tc>
      </w:tr>
      <w:tr w:rsidR="00A41072">
        <w:tc>
          <w:tcPr>
            <w:tcW w:w="97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072" w:rsidRDefault="00383FD5">
            <w:pPr>
              <w:pStyle w:val="Standard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3) Démontrer que le capital culturel constitue un frein à la mobilité sociale. (3 points)</w:t>
            </w:r>
          </w:p>
        </w:tc>
      </w:tr>
    </w:tbl>
    <w:p w:rsidR="00A41072" w:rsidRDefault="00A41072">
      <w:pPr>
        <w:pStyle w:val="Standard"/>
        <w:rPr>
          <w:rFonts w:ascii="Times New Roman" w:hAnsi="Times New Roman"/>
          <w:sz w:val="22"/>
          <w:szCs w:val="22"/>
          <w:lang w:val="fr-FR"/>
        </w:rPr>
      </w:pPr>
    </w:p>
    <w:p w:rsidR="00A41072" w:rsidRPr="00D00D4A" w:rsidRDefault="00383FD5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b/>
          <w:lang w:val="fr-FR"/>
        </w:rPr>
      </w:pPr>
      <w:r w:rsidRPr="00D00D4A">
        <w:rPr>
          <w:rFonts w:ascii="Times New Roman" w:hAnsi="Times New Roman"/>
          <w:b/>
          <w:color w:val="000000"/>
          <w:sz w:val="22"/>
          <w:szCs w:val="22"/>
          <w:lang w:val="fr-FR"/>
        </w:rPr>
        <w:t>DOCUMENT 1</w:t>
      </w:r>
    </w:p>
    <w:p w:rsidR="00A41072" w:rsidRPr="003556DF" w:rsidRDefault="00383FD5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jc w:val="center"/>
        <w:rPr>
          <w:lang w:val="fr-FR"/>
        </w:rPr>
      </w:pPr>
      <w:r>
        <w:rPr>
          <w:rFonts w:ascii="Times New Roman" w:hAnsi="Times New Roman"/>
          <w:color w:val="000000"/>
          <w:sz w:val="22"/>
          <w:szCs w:val="22"/>
          <w:lang w:val="fr-FR"/>
        </w:rPr>
        <w:t>Répartition de l'emploi selon le statut (population occupée de 15 ans et plus)</w:t>
      </w:r>
    </w:p>
    <w:p w:rsidR="00A41072" w:rsidRPr="003556DF" w:rsidRDefault="00A41072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jc w:val="center"/>
        <w:rPr>
          <w:lang w:val="fr-FR"/>
        </w:rPr>
      </w:pPr>
    </w:p>
    <w:tbl>
      <w:tblPr>
        <w:tblW w:w="4483" w:type="dxa"/>
        <w:tblInd w:w="25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0"/>
        <w:gridCol w:w="1035"/>
        <w:gridCol w:w="1348"/>
      </w:tblGrid>
      <w:tr w:rsidR="00A41072">
        <w:tc>
          <w:tcPr>
            <w:tcW w:w="2100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41072" w:rsidRPr="003556DF" w:rsidRDefault="00A41072">
            <w:pPr>
              <w:pStyle w:val="TableContents"/>
              <w:rPr>
                <w:color w:val="000000"/>
                <w:sz w:val="4"/>
                <w:szCs w:val="4"/>
                <w:lang w:val="fr-FR"/>
              </w:rPr>
            </w:pPr>
          </w:p>
        </w:tc>
        <w:tc>
          <w:tcPr>
            <w:tcW w:w="103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41072" w:rsidRDefault="00383FD5" w:rsidP="003556DF">
            <w:pPr>
              <w:pStyle w:val="TableContents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Nombre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en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milliers</w:t>
            </w:r>
            <w:proofErr w:type="spellEnd"/>
          </w:p>
        </w:tc>
        <w:tc>
          <w:tcPr>
            <w:tcW w:w="134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41072" w:rsidRDefault="00383FD5" w:rsidP="003556DF">
            <w:pPr>
              <w:pStyle w:val="TableContents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Répartition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en</w:t>
            </w:r>
            <w:proofErr w:type="spellEnd"/>
            <w:r>
              <w:rPr>
                <w:color w:val="000000"/>
              </w:rPr>
              <w:t xml:space="preserve"> %</w:t>
            </w:r>
          </w:p>
        </w:tc>
      </w:tr>
      <w:tr w:rsidR="00A41072">
        <w:tc>
          <w:tcPr>
            <w:tcW w:w="2100" w:type="dxa"/>
            <w:shd w:val="clear" w:color="auto" w:fill="E4E4E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41072" w:rsidRDefault="00383FD5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Ensemble</w:t>
            </w:r>
          </w:p>
        </w:tc>
        <w:tc>
          <w:tcPr>
            <w:tcW w:w="1035" w:type="dxa"/>
            <w:shd w:val="clear" w:color="auto" w:fill="E4E4E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41072" w:rsidRDefault="00383FD5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25 802</w:t>
            </w:r>
          </w:p>
        </w:tc>
        <w:tc>
          <w:tcPr>
            <w:tcW w:w="1348" w:type="dxa"/>
            <w:shd w:val="clear" w:color="auto" w:fill="E4E4E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41072" w:rsidRDefault="00383FD5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A41072">
        <w:tc>
          <w:tcPr>
            <w:tcW w:w="4483" w:type="dxa"/>
            <w:gridSpan w:val="3"/>
            <w:shd w:val="clear" w:color="auto" w:fill="0033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41072" w:rsidRDefault="00A41072">
            <w:pPr>
              <w:pStyle w:val="TableContents"/>
              <w:rPr>
                <w:color w:val="000000"/>
                <w:sz w:val="4"/>
                <w:szCs w:val="4"/>
              </w:rPr>
            </w:pPr>
          </w:p>
        </w:tc>
      </w:tr>
      <w:tr w:rsidR="00A41072">
        <w:tc>
          <w:tcPr>
            <w:tcW w:w="2100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41072" w:rsidRDefault="00383FD5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 xml:space="preserve">Non </w:t>
            </w:r>
            <w:proofErr w:type="spellStart"/>
            <w:r>
              <w:rPr>
                <w:color w:val="000000"/>
              </w:rPr>
              <w:t>salariés</w:t>
            </w:r>
            <w:proofErr w:type="spellEnd"/>
          </w:p>
        </w:tc>
        <w:tc>
          <w:tcPr>
            <w:tcW w:w="103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41072" w:rsidRDefault="00383FD5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2 968</w:t>
            </w:r>
          </w:p>
        </w:tc>
        <w:tc>
          <w:tcPr>
            <w:tcW w:w="134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41072" w:rsidRDefault="00383FD5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11,5</w:t>
            </w:r>
          </w:p>
        </w:tc>
      </w:tr>
      <w:tr w:rsidR="00A41072">
        <w:tc>
          <w:tcPr>
            <w:tcW w:w="4483" w:type="dxa"/>
            <w:gridSpan w:val="3"/>
            <w:shd w:val="clear" w:color="auto" w:fill="0033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41072" w:rsidRDefault="00A41072">
            <w:pPr>
              <w:pStyle w:val="TableContents"/>
              <w:rPr>
                <w:color w:val="000000"/>
                <w:sz w:val="4"/>
                <w:szCs w:val="4"/>
              </w:rPr>
            </w:pPr>
          </w:p>
        </w:tc>
      </w:tr>
      <w:tr w:rsidR="00A41072">
        <w:tc>
          <w:tcPr>
            <w:tcW w:w="2100" w:type="dxa"/>
            <w:shd w:val="clear" w:color="auto" w:fill="E4E4E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41072" w:rsidRDefault="00383FD5">
            <w:pPr>
              <w:pStyle w:val="TableContents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Salariés</w:t>
            </w:r>
            <w:proofErr w:type="spellEnd"/>
          </w:p>
        </w:tc>
        <w:tc>
          <w:tcPr>
            <w:tcW w:w="1035" w:type="dxa"/>
            <w:shd w:val="clear" w:color="auto" w:fill="E4E4E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41072" w:rsidRDefault="00383FD5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22 832</w:t>
            </w:r>
          </w:p>
        </w:tc>
        <w:tc>
          <w:tcPr>
            <w:tcW w:w="1348" w:type="dxa"/>
            <w:shd w:val="clear" w:color="auto" w:fill="E4E4E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41072" w:rsidRDefault="00383FD5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88,5</w:t>
            </w:r>
          </w:p>
        </w:tc>
      </w:tr>
      <w:tr w:rsidR="00A41072">
        <w:tc>
          <w:tcPr>
            <w:tcW w:w="2100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41072" w:rsidRPr="003556DF" w:rsidRDefault="00383FD5">
            <w:pPr>
              <w:pStyle w:val="TableContents"/>
              <w:rPr>
                <w:color w:val="000000"/>
                <w:lang w:val="fr-FR"/>
              </w:rPr>
            </w:pPr>
            <w:r w:rsidRPr="003556DF">
              <w:rPr>
                <w:color w:val="000000"/>
                <w:lang w:val="fr-FR"/>
              </w:rPr>
              <w:t>* Dont salariés en contrat à durée indéterminée</w:t>
            </w:r>
          </w:p>
        </w:tc>
        <w:tc>
          <w:tcPr>
            <w:tcW w:w="103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41072" w:rsidRDefault="00383FD5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19 650</w:t>
            </w:r>
          </w:p>
        </w:tc>
        <w:tc>
          <w:tcPr>
            <w:tcW w:w="134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41072" w:rsidRPr="003556DF" w:rsidRDefault="00383FD5">
            <w:pPr>
              <w:pStyle w:val="TableContents"/>
              <w:rPr>
                <w:b/>
                <w:color w:val="000000"/>
                <w:u w:val="single"/>
              </w:rPr>
            </w:pPr>
            <w:r w:rsidRPr="003556DF">
              <w:rPr>
                <w:b/>
                <w:color w:val="000000"/>
                <w:u w:val="single"/>
              </w:rPr>
              <w:t>76,2</w:t>
            </w:r>
          </w:p>
        </w:tc>
      </w:tr>
      <w:tr w:rsidR="00A41072">
        <w:tc>
          <w:tcPr>
            <w:tcW w:w="4483" w:type="dxa"/>
            <w:gridSpan w:val="3"/>
            <w:shd w:val="clear" w:color="auto" w:fill="0033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41072" w:rsidRDefault="00A41072">
            <w:pPr>
              <w:pStyle w:val="TableContents"/>
              <w:rPr>
                <w:color w:val="000000"/>
                <w:sz w:val="4"/>
                <w:szCs w:val="4"/>
              </w:rPr>
            </w:pPr>
          </w:p>
        </w:tc>
      </w:tr>
      <w:tr w:rsidR="00A41072">
        <w:tc>
          <w:tcPr>
            <w:tcW w:w="2100" w:type="dxa"/>
            <w:shd w:val="clear" w:color="auto" w:fill="E4E4E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41072" w:rsidRDefault="00383FD5">
            <w:pPr>
              <w:pStyle w:val="TableContents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Salariés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précaires</w:t>
            </w:r>
            <w:proofErr w:type="spellEnd"/>
          </w:p>
        </w:tc>
        <w:tc>
          <w:tcPr>
            <w:tcW w:w="1035" w:type="dxa"/>
            <w:shd w:val="clear" w:color="auto" w:fill="E4E4E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41072" w:rsidRDefault="00383FD5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3 182</w:t>
            </w:r>
          </w:p>
        </w:tc>
        <w:tc>
          <w:tcPr>
            <w:tcW w:w="1348" w:type="dxa"/>
            <w:shd w:val="clear" w:color="auto" w:fill="E4E4E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41072" w:rsidRPr="003556DF" w:rsidRDefault="00383FD5">
            <w:pPr>
              <w:pStyle w:val="TableContents"/>
              <w:rPr>
                <w:b/>
                <w:color w:val="000000"/>
                <w:u w:val="single"/>
              </w:rPr>
            </w:pPr>
            <w:r w:rsidRPr="003556DF">
              <w:rPr>
                <w:b/>
                <w:color w:val="000000"/>
                <w:u w:val="single"/>
              </w:rPr>
              <w:t>12,3</w:t>
            </w:r>
          </w:p>
        </w:tc>
      </w:tr>
    </w:tbl>
    <w:p w:rsidR="00A41072" w:rsidRDefault="00A41072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22"/>
          <w:szCs w:val="22"/>
          <w:lang w:val="fr-FR"/>
        </w:rPr>
      </w:pPr>
    </w:p>
    <w:p w:rsidR="00A41072" w:rsidRDefault="00383FD5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jc w:val="center"/>
        <w:rPr>
          <w:rFonts w:ascii="Times New Roman" w:hAnsi="Times New Roman"/>
          <w:color w:val="000000"/>
          <w:sz w:val="22"/>
          <w:szCs w:val="22"/>
          <w:lang w:val="fr-FR"/>
        </w:rPr>
      </w:pPr>
      <w:r>
        <w:rPr>
          <w:rFonts w:ascii="Times New Roman" w:hAnsi="Times New Roman"/>
          <w:color w:val="000000"/>
          <w:sz w:val="22"/>
          <w:szCs w:val="22"/>
          <w:lang w:val="fr-FR"/>
        </w:rPr>
        <w:t>INSEE – Données 2014 – Observatoire des inégalités</w:t>
      </w:r>
    </w:p>
    <w:p w:rsidR="00A41072" w:rsidRDefault="00A41072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</w:pPr>
    </w:p>
    <w:p w:rsidR="00A41072" w:rsidRPr="00D00D4A" w:rsidRDefault="00383FD5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b/>
        </w:rPr>
      </w:pPr>
      <w:r w:rsidRPr="00D00D4A">
        <w:rPr>
          <w:rFonts w:ascii="Times New Roman" w:hAnsi="Times New Roman"/>
          <w:b/>
          <w:color w:val="000000"/>
          <w:sz w:val="22"/>
          <w:szCs w:val="22"/>
          <w:lang w:val="fr-FR"/>
        </w:rPr>
        <w:t>DOCUMENT 2</w:t>
      </w:r>
    </w:p>
    <w:p w:rsidR="00A41072" w:rsidRPr="003556DF" w:rsidRDefault="00383FD5">
      <w:pPr>
        <w:pStyle w:val="Titre2"/>
        <w:tabs>
          <w:tab w:val="left" w:pos="8460"/>
        </w:tabs>
        <w:jc w:val="both"/>
        <w:rPr>
          <w:lang w:val="fr-FR"/>
        </w:rPr>
      </w:pPr>
      <w:r w:rsidRPr="003556DF">
        <w:rPr>
          <w:b w:val="0"/>
          <w:bCs w:val="0"/>
          <w:color w:val="000000"/>
          <w:sz w:val="22"/>
          <w:szCs w:val="22"/>
          <w:lang w:val="fr-FR"/>
        </w:rPr>
        <w:t xml:space="preserve">Les chômeurs souffrent plus de la solitude que les personnes âgées. Tel est le résultat d’une </w:t>
      </w:r>
      <w:hyperlink r:id="rId6" w:history="1">
        <w:r w:rsidRPr="003556DF">
          <w:rPr>
            <w:b w:val="0"/>
            <w:bCs w:val="0"/>
            <w:color w:val="000000"/>
            <w:sz w:val="22"/>
            <w:szCs w:val="22"/>
            <w:lang w:val="fr-FR"/>
          </w:rPr>
          <w:t>enquête</w:t>
        </w:r>
      </w:hyperlink>
      <w:r w:rsidRPr="003556DF">
        <w:rPr>
          <w:b w:val="0"/>
          <w:bCs w:val="0"/>
          <w:color w:val="000000"/>
          <w:sz w:val="22"/>
          <w:szCs w:val="22"/>
          <w:lang w:val="fr-FR"/>
        </w:rPr>
        <w:t xml:space="preserve"> de la Société Saint-Vincent-de-Paul, avec le soutien des Petits Frères des pauvres, de Caritas-</w:t>
      </w:r>
      <w:hyperlink r:id="rId7" w:history="1">
        <w:r w:rsidRPr="003556DF">
          <w:rPr>
            <w:b w:val="0"/>
            <w:bCs w:val="0"/>
            <w:color w:val="000000"/>
            <w:sz w:val="22"/>
            <w:szCs w:val="22"/>
            <w:lang w:val="fr-FR"/>
          </w:rPr>
          <w:t>France</w:t>
        </w:r>
      </w:hyperlink>
      <w:r w:rsidRPr="003556DF">
        <w:rPr>
          <w:b w:val="0"/>
          <w:bCs w:val="0"/>
          <w:color w:val="000000"/>
          <w:sz w:val="22"/>
          <w:szCs w:val="22"/>
          <w:lang w:val="fr-FR"/>
        </w:rPr>
        <w:t xml:space="preserve"> et de la Croix-Rouge, rendue publique mercredi 12 mars. Menée à Strasbourg depuis un an et demi et dirigée par le sociologue du CNRS Serge </w:t>
      </w:r>
      <w:proofErr w:type="spellStart"/>
      <w:r w:rsidRPr="003556DF">
        <w:rPr>
          <w:b w:val="0"/>
          <w:bCs w:val="0"/>
          <w:color w:val="000000"/>
          <w:sz w:val="22"/>
          <w:szCs w:val="22"/>
          <w:lang w:val="fr-FR"/>
        </w:rPr>
        <w:t>Paugam</w:t>
      </w:r>
      <w:proofErr w:type="spellEnd"/>
      <w:r w:rsidRPr="003556DF">
        <w:rPr>
          <w:b w:val="0"/>
          <w:bCs w:val="0"/>
          <w:color w:val="000000"/>
          <w:sz w:val="22"/>
          <w:szCs w:val="22"/>
          <w:lang w:val="fr-FR"/>
        </w:rPr>
        <w:t xml:space="preserve">, cette étude met en lumière que les personnes sans diplômes, les ouvriers et les précaires sont les plus touchés par la solitude et la dépression. </w:t>
      </w:r>
      <w:r w:rsidRPr="003556DF">
        <w:rPr>
          <w:rStyle w:val="Accentuation"/>
          <w:b w:val="0"/>
          <w:bCs w:val="0"/>
          <w:color w:val="000000"/>
          <w:sz w:val="22"/>
          <w:szCs w:val="22"/>
          <w:lang w:val="fr-FR"/>
        </w:rPr>
        <w:t>« On ne s’est pas contenté d’un sondage, mais nous avons réalisé une véritable enquête afin de mieux comprendre le phénomène de solitude »,</w:t>
      </w:r>
      <w:r w:rsidRPr="003556DF">
        <w:rPr>
          <w:b w:val="0"/>
          <w:bCs w:val="0"/>
          <w:color w:val="000000"/>
          <w:sz w:val="22"/>
          <w:szCs w:val="22"/>
          <w:lang w:val="fr-FR"/>
        </w:rPr>
        <w:t xml:space="preserve"> affirme le sociologue. Ainsi, à Strasbourg, les retraités sont trois fois plus nombreux à vivre seuls que les chômeurs (32 % contre 6,7 %) ; mais 45 % des personnes sans emploi déclarent souffrir de la solitude, contre seulement 12 % des retraités. </w:t>
      </w:r>
      <w:r w:rsidRPr="003556DF">
        <w:rPr>
          <w:rStyle w:val="Accentuation"/>
          <w:b w:val="0"/>
          <w:bCs w:val="0"/>
          <w:color w:val="000000"/>
          <w:sz w:val="22"/>
          <w:szCs w:val="22"/>
          <w:lang w:val="fr-FR"/>
        </w:rPr>
        <w:t xml:space="preserve">« Les personnes au chômage se sentent en décalage avec la norme de la société qui incite les gens à </w:t>
      </w:r>
      <w:hyperlink r:id="rId8" w:history="1">
        <w:r w:rsidRPr="003556DF">
          <w:rPr>
            <w:rStyle w:val="Accentuation"/>
            <w:b w:val="0"/>
            <w:bCs w:val="0"/>
            <w:color w:val="000000"/>
            <w:sz w:val="22"/>
            <w:szCs w:val="22"/>
            <w:lang w:val="fr-FR"/>
          </w:rPr>
          <w:t>travailler</w:t>
        </w:r>
      </w:hyperlink>
      <w:r w:rsidRPr="003556DF">
        <w:rPr>
          <w:rStyle w:val="Accentuation"/>
          <w:b w:val="0"/>
          <w:bCs w:val="0"/>
          <w:color w:val="000000"/>
          <w:sz w:val="22"/>
          <w:szCs w:val="22"/>
          <w:lang w:val="fr-FR"/>
        </w:rPr>
        <w:t xml:space="preserve">. Ainsi, ils rompent progressivement le lien </w:t>
      </w:r>
      <w:hyperlink r:id="rId9" w:history="1">
        <w:r w:rsidRPr="003556DF">
          <w:rPr>
            <w:rStyle w:val="Accentuation"/>
            <w:b w:val="0"/>
            <w:bCs w:val="0"/>
            <w:color w:val="000000"/>
            <w:sz w:val="22"/>
            <w:szCs w:val="22"/>
            <w:lang w:val="fr-FR"/>
          </w:rPr>
          <w:t>social</w:t>
        </w:r>
      </w:hyperlink>
      <w:r w:rsidRPr="003556DF">
        <w:rPr>
          <w:rStyle w:val="Accentuation"/>
          <w:b w:val="0"/>
          <w:bCs w:val="0"/>
          <w:color w:val="000000"/>
          <w:sz w:val="22"/>
          <w:szCs w:val="22"/>
          <w:lang w:val="fr-FR"/>
        </w:rPr>
        <w:t xml:space="preserve"> avec leurs proches, avec les institutions et finissent par en souffrir »,</w:t>
      </w:r>
      <w:r w:rsidRPr="003556DF">
        <w:rPr>
          <w:b w:val="0"/>
          <w:bCs w:val="0"/>
          <w:color w:val="000000"/>
          <w:sz w:val="22"/>
          <w:szCs w:val="22"/>
          <w:lang w:val="fr-FR"/>
        </w:rPr>
        <w:t xml:space="preserve"> explique le chercheur. Les personnes les moins qualifiées, premières victimes du chômage, sont donc les premières touchées : près de 23 % d’entre elles disent se sentir seules.</w:t>
      </w:r>
    </w:p>
    <w:p w:rsidR="00A41072" w:rsidRDefault="00D00D4A">
      <w:pPr>
        <w:pStyle w:val="Standard"/>
        <w:tabs>
          <w:tab w:val="left" w:pos="8460"/>
        </w:tabs>
        <w:spacing w:line="300" w:lineRule="atLeast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  <w:lang w:val="fr-FR"/>
        </w:rPr>
        <w:t xml:space="preserve">Le Monde.fr, </w:t>
      </w:r>
      <w:bookmarkStart w:id="0" w:name="_GoBack"/>
      <w:bookmarkEnd w:id="0"/>
      <w:r w:rsidR="00383FD5">
        <w:rPr>
          <w:rFonts w:ascii="Times New Roman" w:hAnsi="Times New Roman"/>
          <w:color w:val="000000"/>
          <w:sz w:val="22"/>
          <w:szCs w:val="22"/>
          <w:lang w:val="fr-FR"/>
        </w:rPr>
        <w:t>12.03.2015</w:t>
      </w:r>
    </w:p>
    <w:sectPr w:rsidR="00A41072">
      <w:footerReference w:type="default" r:id="rId10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681" w:rsidRDefault="00383FD5">
      <w:r>
        <w:separator/>
      </w:r>
    </w:p>
  </w:endnote>
  <w:endnote w:type="continuationSeparator" w:id="0">
    <w:p w:rsidR="00756681" w:rsidRDefault="00383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4E0" w:rsidRPr="003556DF" w:rsidRDefault="00383FD5">
    <w:pPr>
      <w:pStyle w:val="Pieddepage"/>
      <w:jc w:val="center"/>
      <w:rPr>
        <w:lang w:val="fr-FR"/>
      </w:rPr>
    </w:pPr>
    <w:r>
      <w:rPr>
        <w:rFonts w:ascii="Arial" w:hAnsi="Arial"/>
        <w:sz w:val="20"/>
        <w:lang w:val="fr-FR"/>
      </w:rPr>
      <w:t>N'écrivez pas sur ce sujet, que vous devrez rendre en fin d'interrogation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681" w:rsidRDefault="00383FD5">
      <w:r>
        <w:rPr>
          <w:color w:val="000000"/>
        </w:rPr>
        <w:separator/>
      </w:r>
    </w:p>
  </w:footnote>
  <w:footnote w:type="continuationSeparator" w:id="0">
    <w:p w:rsidR="00756681" w:rsidRDefault="00383F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072"/>
    <w:rsid w:val="002B702E"/>
    <w:rsid w:val="003556DF"/>
    <w:rsid w:val="00383FD5"/>
    <w:rsid w:val="00756681"/>
    <w:rsid w:val="00A41072"/>
    <w:rsid w:val="00D0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13911D-2989-4963-BAF2-42D058721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Textbody"/>
    <w:pPr>
      <w:keepNext/>
      <w:widowControl/>
      <w:suppressAutoHyphens w:val="0"/>
      <w:outlineLvl w:val="0"/>
    </w:pPr>
    <w:rPr>
      <w:rFonts w:ascii="Times New Roman" w:eastAsia="Times New Roman" w:hAnsi="Times New Roman" w:cs="Times New Roman"/>
      <w:b/>
      <w:sz w:val="22"/>
      <w:lang w:val="fr-FR" w:eastAsia="fr-FR" w:bidi="ar-SA"/>
    </w:rPr>
  </w:style>
  <w:style w:type="paragraph" w:styleId="Titre2">
    <w:name w:val="heading 2"/>
    <w:basedOn w:val="Heading"/>
    <w:next w:val="Textbody"/>
    <w:pPr>
      <w:outlineLvl w:val="1"/>
    </w:pPr>
    <w:rPr>
      <w:rFonts w:ascii="Times New Roman" w:eastAsia="SimSun" w:hAnsi="Times New Roman" w:cs="Arial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Pr>
      <w:rFonts w:ascii="Helvetica" w:eastAsia="Helvetica" w:hAnsi="Helvetica" w:cs="Helvetica"/>
      <w:sz w:val="24"/>
      <w:lang w:val="en-US" w:eastAsia="hi-I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itre10">
    <w:name w:val="Titre1"/>
    <w:basedOn w:val="Standard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Lgende1">
    <w:name w:val="Légende1"/>
    <w:basedOn w:val="Standard"/>
    <w:pPr>
      <w:suppressLineNumbers/>
      <w:spacing w:before="120" w:after="120"/>
    </w:pPr>
    <w:rPr>
      <w:i/>
      <w:iCs/>
      <w:szCs w:val="24"/>
    </w:rPr>
  </w:style>
  <w:style w:type="paragraph" w:styleId="En-tte">
    <w:name w:val="header"/>
    <w:basedOn w:val="Standard"/>
    <w:pPr>
      <w:suppressLineNumbers/>
      <w:tabs>
        <w:tab w:val="center" w:pos="4536"/>
        <w:tab w:val="right" w:pos="9072"/>
      </w:tabs>
    </w:pPr>
    <w:rPr>
      <w:rFonts w:cs="Mangal"/>
    </w:rPr>
  </w:style>
  <w:style w:type="paragraph" w:styleId="Pieddepage">
    <w:name w:val="footer"/>
    <w:basedOn w:val="Standard"/>
    <w:pPr>
      <w:suppressLineNumbers/>
      <w:tabs>
        <w:tab w:val="center" w:pos="4536"/>
        <w:tab w:val="right" w:pos="9072"/>
      </w:tabs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Policepardfaut1">
    <w:name w:val="Police par défaut1"/>
  </w:style>
  <w:style w:type="character" w:customStyle="1" w:styleId="Titre1Car">
    <w:name w:val="Titre 1 Car"/>
    <w:basedOn w:val="Policepardfaut"/>
    <w:rPr>
      <w:b/>
      <w:sz w:val="22"/>
      <w:lang w:eastAsia="fr-FR"/>
    </w:rPr>
  </w:style>
  <w:style w:type="character" w:customStyle="1" w:styleId="En-tteCar">
    <w:name w:val="En-tête Car"/>
    <w:basedOn w:val="Policepardfaut"/>
    <w:rPr>
      <w:rFonts w:ascii="Helvetica" w:eastAsia="Helvetica" w:hAnsi="Helvetica" w:cs="Mangal"/>
      <w:sz w:val="24"/>
      <w:lang w:val="en-US" w:eastAsia="hi-IN" w:bidi="hi-IN"/>
    </w:rPr>
  </w:style>
  <w:style w:type="character" w:customStyle="1" w:styleId="PieddepageCar">
    <w:name w:val="Pied de page Car"/>
    <w:basedOn w:val="Policepardfaut"/>
    <w:rPr>
      <w:rFonts w:ascii="Helvetica" w:eastAsia="Helvetica" w:hAnsi="Helvetica" w:cs="Mangal"/>
      <w:sz w:val="24"/>
      <w:lang w:val="en-US" w:eastAsia="hi-IN" w:bidi="hi-IN"/>
    </w:rPr>
  </w:style>
  <w:style w:type="character" w:customStyle="1" w:styleId="Internetlink">
    <w:name w:val="Internet link"/>
    <w:rPr>
      <w:color w:val="000080"/>
      <w:u w:val="single"/>
    </w:rPr>
  </w:style>
  <w:style w:type="character" w:styleId="Accentuation">
    <w:name w:val="Emphasis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jugaison.lemonde.fr/conjugaison/premier-groupe/travaille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emonde.fr/europeennes-france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emonde.fr/enquetes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lemonde.fr/social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LEMOINE</dc:creator>
  <cp:lastModifiedBy>Utilisateur</cp:lastModifiedBy>
  <cp:revision>5</cp:revision>
  <cp:lastPrinted>1899-12-31T23:00:00Z</cp:lastPrinted>
  <dcterms:created xsi:type="dcterms:W3CDTF">2016-03-07T20:05:00Z</dcterms:created>
  <dcterms:modified xsi:type="dcterms:W3CDTF">2016-04-14T06:48:00Z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