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A111AB">
              <w:rPr>
                <w:rFonts w:ascii="Times New Roman" w:hAnsi="Times New Roman" w:cs="Times New Roman"/>
                <w:b/>
                <w:sz w:val="22"/>
                <w:szCs w:val="22"/>
              </w:rPr>
              <w:t>222.4</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DB4AD4">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8B4176"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Thème de la question principale :</w:t>
            </w:r>
            <w:r w:rsidR="00E94CFA" w:rsidRPr="009C711D">
              <w:rPr>
                <w:rFonts w:ascii="Times New Roman" w:hAnsi="Times New Roman" w:cs="Times New Roman"/>
                <w:b/>
                <w:sz w:val="22"/>
                <w:szCs w:val="22"/>
                <w:lang w:val="fr-FR"/>
              </w:rPr>
              <w:t xml:space="preserve"> </w:t>
            </w:r>
            <w:r w:rsidR="00D22612" w:rsidRPr="00D22612">
              <w:rPr>
                <w:rFonts w:ascii="Times New Roman" w:hAnsi="Times New Roman" w:cs="Times New Roman"/>
                <w:b/>
                <w:sz w:val="22"/>
                <w:szCs w:val="22"/>
                <w:lang w:val="fr-FR"/>
              </w:rPr>
              <w:t>La conflictualité sociale : pathologie, facteur de cohésion ou moteur du changement social ?</w:t>
            </w:r>
          </w:p>
        </w:tc>
      </w:tr>
      <w:tr w:rsidR="00E167D7" w:rsidRPr="008B4176" w:rsidTr="001A16C8">
        <w:tc>
          <w:tcPr>
            <w:tcW w:w="9778" w:type="dxa"/>
            <w:gridSpan w:val="3"/>
          </w:tcPr>
          <w:p w:rsidR="00E167D7" w:rsidRPr="009C711D" w:rsidRDefault="00E167D7" w:rsidP="00F52785">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 principale (sur 10 points) :</w:t>
            </w:r>
            <w:r w:rsidR="00C1596C">
              <w:rPr>
                <w:rFonts w:ascii="Times New Roman" w:hAnsi="Times New Roman" w:cs="Times New Roman"/>
                <w:b/>
                <w:sz w:val="22"/>
                <w:szCs w:val="22"/>
                <w:lang w:val="fr-FR"/>
              </w:rPr>
              <w:t xml:space="preserve"> Vous </w:t>
            </w:r>
            <w:r w:rsidR="00F52785">
              <w:rPr>
                <w:rFonts w:ascii="Times New Roman" w:hAnsi="Times New Roman" w:cs="Times New Roman"/>
                <w:b/>
                <w:sz w:val="22"/>
                <w:szCs w:val="22"/>
                <w:lang w:val="fr-FR"/>
              </w:rPr>
              <w:t>analyserez les mutations que connaissent les conflits du travail.</w:t>
            </w:r>
          </w:p>
        </w:tc>
      </w:tr>
      <w:tr w:rsidR="00E167D7" w:rsidRPr="009C711D"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A111AB"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A111AB">
              <w:rPr>
                <w:rFonts w:ascii="Times New Roman" w:hAnsi="Times New Roman" w:cs="Times New Roman"/>
                <w:sz w:val="22"/>
                <w:szCs w:val="22"/>
                <w:lang w:val="fr-FR"/>
              </w:rPr>
              <w:t>Donnez la signi</w:t>
            </w:r>
            <w:r w:rsidR="0024173D">
              <w:rPr>
                <w:rFonts w:ascii="Times New Roman" w:hAnsi="Times New Roman" w:cs="Times New Roman"/>
                <w:sz w:val="22"/>
                <w:szCs w:val="22"/>
                <w:lang w:val="fr-FR"/>
              </w:rPr>
              <w:t>fication des 2 valeurs soulignées</w:t>
            </w:r>
            <w:r w:rsidR="00A111AB">
              <w:rPr>
                <w:rFonts w:ascii="Times New Roman" w:hAnsi="Times New Roman" w:cs="Times New Roman"/>
                <w:sz w:val="22"/>
                <w:szCs w:val="22"/>
                <w:lang w:val="fr-FR"/>
              </w:rPr>
              <w:t>. (document 1). (4 points)</w:t>
            </w:r>
          </w:p>
        </w:tc>
      </w:tr>
      <w:tr w:rsidR="00E167D7" w:rsidRPr="00A111AB"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D22612">
              <w:rPr>
                <w:rFonts w:ascii="Times New Roman" w:hAnsi="Times New Roman" w:cs="Times New Roman"/>
                <w:sz w:val="22"/>
                <w:szCs w:val="22"/>
                <w:lang w:val="fr-FR"/>
              </w:rPr>
              <w:t>Distinguez compétitivité-prix et compétitivité hors-prix.</w:t>
            </w:r>
            <w:r w:rsidR="00A111AB">
              <w:rPr>
                <w:rFonts w:ascii="Times New Roman" w:hAnsi="Times New Roman" w:cs="Times New Roman"/>
                <w:sz w:val="22"/>
                <w:szCs w:val="22"/>
                <w:lang w:val="fr-FR"/>
              </w:rPr>
              <w:t xml:space="preserve"> (3 points)</w:t>
            </w:r>
          </w:p>
        </w:tc>
      </w:tr>
      <w:tr w:rsidR="00E167D7" w:rsidRPr="00A111AB"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A24FC4" w:rsidRPr="00A24FC4">
              <w:rPr>
                <w:lang w:val="fr-FR"/>
              </w:rPr>
              <w:t xml:space="preserve"> </w:t>
            </w:r>
            <w:r w:rsidR="00A24FC4" w:rsidRPr="00A24FC4">
              <w:rPr>
                <w:rFonts w:ascii="Times New Roman" w:hAnsi="Times New Roman" w:cs="Times New Roman"/>
                <w:sz w:val="22"/>
                <w:szCs w:val="22"/>
                <w:lang w:val="fr-FR"/>
              </w:rPr>
              <w:t>Qu’est-ce qu’un groupe de statut pour Max Weber ?</w:t>
            </w:r>
            <w:r w:rsidR="00A111AB">
              <w:rPr>
                <w:rFonts w:ascii="Times New Roman" w:hAnsi="Times New Roman" w:cs="Times New Roman"/>
                <w:sz w:val="22"/>
                <w:szCs w:val="22"/>
                <w:lang w:val="fr-FR"/>
              </w:rPr>
              <w:t xml:space="preserve"> (3 points)</w:t>
            </w:r>
          </w:p>
        </w:tc>
      </w:tr>
    </w:tbl>
    <w:p w:rsidR="004254C1" w:rsidRPr="009C711D" w:rsidRDefault="004254C1">
      <w:pPr>
        <w:rPr>
          <w:rFonts w:ascii="Times New Roman" w:hAnsi="Times New Roman"/>
          <w:sz w:val="22"/>
          <w:szCs w:val="22"/>
          <w:lang w:val="fr-FR"/>
        </w:rPr>
      </w:pPr>
    </w:p>
    <w:p w:rsidR="001A16C8" w:rsidRPr="008B4176" w:rsidRDefault="00E94CFA" w:rsidP="00B615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b/>
          <w:color w:val="000000"/>
          <w:sz w:val="22"/>
          <w:szCs w:val="22"/>
          <w:lang w:val="fr-FR"/>
        </w:rPr>
      </w:pPr>
      <w:r w:rsidRPr="008B4176">
        <w:rPr>
          <w:rFonts w:ascii="Times New Roman" w:hAnsi="Times New Roman"/>
          <w:b/>
          <w:color w:val="000000"/>
          <w:sz w:val="22"/>
          <w:szCs w:val="22"/>
          <w:lang w:val="fr-FR"/>
        </w:rPr>
        <w:t>DOCUMENT 1</w:t>
      </w:r>
    </w:p>
    <w:p w:rsidR="00C1596C" w:rsidRDefault="00C1596C" w:rsidP="00B615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p>
    <w:p w:rsidR="00195FD7" w:rsidRDefault="00195FD7" w:rsidP="00195FD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Pr>
          <w:rFonts w:ascii="Times New Roman" w:hAnsi="Times New Roman"/>
          <w:color w:val="000000"/>
          <w:sz w:val="22"/>
          <w:szCs w:val="22"/>
          <w:lang w:val="fr-FR"/>
        </w:rPr>
        <w:t xml:space="preserve">Si l’on se fie aux statistiques du ministère du Travail, on assiste depuis le début des années 1980 à un déclin important du nombre de journées individuelles non travaillées pour fait de grève (JINT). […] L’accélération de la « mondialisation » de l’économie, l’individualisation de la relation salariale dans l’entreprise et la précarisation des statuts d’emploi sont ainsi généralement évoquées comme autant de processus de reconfiguration des rapports de production qui sapent les fondements possibles de l’action collective, ôtant en particulier à l’arme de la grève toute son efficacité. […] Plusieurs éléments viennent battre en brèche cette </w:t>
      </w:r>
      <w:proofErr w:type="gramStart"/>
      <w:r>
        <w:rPr>
          <w:rFonts w:ascii="Times New Roman" w:hAnsi="Times New Roman"/>
          <w:color w:val="000000"/>
          <w:sz w:val="22"/>
          <w:szCs w:val="22"/>
          <w:lang w:val="fr-FR"/>
        </w:rPr>
        <w:t>croyance</w:t>
      </w:r>
      <w:proofErr w:type="gramEnd"/>
      <w:r>
        <w:rPr>
          <w:rFonts w:ascii="Times New Roman" w:hAnsi="Times New Roman"/>
          <w:color w:val="000000"/>
          <w:sz w:val="22"/>
          <w:szCs w:val="22"/>
          <w:lang w:val="fr-FR"/>
        </w:rPr>
        <w:t xml:space="preserve"> amplement partagée en une marginalisation des mobilisations « traditionnelles » du monde du travail. […] Loin de disparaître ou de se réduire à des luttes pour la défense de l’emploi, les conflits du travail se structurent encore autour d’enjeux multiples (salaires, conditions de travail) et l’industrie demeure un lieu privilégié de leur éclosion. </w:t>
      </w:r>
    </w:p>
    <w:p w:rsidR="00195FD7" w:rsidRDefault="00195FD7" w:rsidP="00D06B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right"/>
        <w:rPr>
          <w:rFonts w:ascii="Times New Roman" w:hAnsi="Times New Roman"/>
          <w:color w:val="000000"/>
          <w:sz w:val="22"/>
          <w:szCs w:val="22"/>
          <w:lang w:val="fr-FR"/>
        </w:rPr>
      </w:pPr>
      <w:r>
        <w:rPr>
          <w:rFonts w:ascii="Times New Roman" w:hAnsi="Times New Roman"/>
          <w:color w:val="000000"/>
          <w:sz w:val="22"/>
          <w:szCs w:val="22"/>
          <w:lang w:val="fr-FR"/>
        </w:rPr>
        <w:t xml:space="preserve">Baptiste Giraud, « Des conflits du travail à la sociologie des mobilisations : les apports d’un décloisonnement empirique et théorique », </w:t>
      </w:r>
      <w:proofErr w:type="spellStart"/>
      <w:r w:rsidRPr="00195FD7">
        <w:rPr>
          <w:rFonts w:ascii="Times New Roman" w:hAnsi="Times New Roman"/>
          <w:i/>
          <w:color w:val="000000"/>
          <w:sz w:val="22"/>
          <w:szCs w:val="22"/>
          <w:lang w:val="fr-FR"/>
        </w:rPr>
        <w:t>Politix</w:t>
      </w:r>
      <w:proofErr w:type="spellEnd"/>
      <w:r>
        <w:rPr>
          <w:rFonts w:ascii="Times New Roman" w:hAnsi="Times New Roman"/>
          <w:color w:val="000000"/>
          <w:sz w:val="22"/>
          <w:szCs w:val="22"/>
          <w:lang w:val="fr-FR"/>
        </w:rPr>
        <w:t>, volume 22, 2009/2.</w:t>
      </w:r>
    </w:p>
    <w:p w:rsidR="00195FD7" w:rsidRPr="009C711D" w:rsidRDefault="00195FD7" w:rsidP="00B615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p>
    <w:p w:rsidR="00B80B45" w:rsidRPr="008B4176" w:rsidRDefault="00E94CFA" w:rsidP="00B615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b/>
          <w:color w:val="000000"/>
          <w:sz w:val="22"/>
          <w:szCs w:val="22"/>
          <w:lang w:val="fr-FR"/>
        </w:rPr>
      </w:pPr>
      <w:r w:rsidRPr="008B4176">
        <w:rPr>
          <w:rFonts w:ascii="Times New Roman" w:hAnsi="Times New Roman"/>
          <w:b/>
          <w:color w:val="000000"/>
          <w:sz w:val="22"/>
          <w:szCs w:val="22"/>
          <w:lang w:val="fr-FR"/>
        </w:rPr>
        <w:t>DOCUMENT 2</w:t>
      </w:r>
      <w:bookmarkStart w:id="0" w:name="_GoBack"/>
      <w:bookmarkEnd w:id="0"/>
    </w:p>
    <w:p w:rsidR="00F52785" w:rsidRDefault="00F52785" w:rsidP="00B615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p>
    <w:p w:rsidR="00195FD7" w:rsidRPr="00D06BFB" w:rsidRDefault="00195FD7" w:rsidP="00195FD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D06BFB">
        <w:rPr>
          <w:rFonts w:ascii="Times New Roman" w:hAnsi="Times New Roman"/>
          <w:b/>
          <w:color w:val="000000"/>
          <w:sz w:val="22"/>
          <w:szCs w:val="22"/>
          <w:lang w:val="fr-FR"/>
        </w:rPr>
        <w:t>Les différents types de conflits (en % d’établissements)</w:t>
      </w:r>
    </w:p>
    <w:p w:rsidR="00195FD7" w:rsidRPr="009C711D" w:rsidRDefault="00195FD7" w:rsidP="00B615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1066"/>
        <w:gridCol w:w="1134"/>
        <w:gridCol w:w="1134"/>
      </w:tblGrid>
      <w:tr w:rsidR="00BC5D6E" w:rsidRPr="00BC5D6E" w:rsidTr="00BC5D6E">
        <w:tc>
          <w:tcPr>
            <w:tcW w:w="4644" w:type="dxa"/>
            <w:shd w:val="clear" w:color="auto" w:fill="auto"/>
          </w:tcPr>
          <w:p w:rsidR="00195FD7" w:rsidRPr="00BC5D6E" w:rsidRDefault="00195FD7"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b/>
                <w:color w:val="000000"/>
                <w:sz w:val="22"/>
                <w:szCs w:val="22"/>
                <w:lang w:val="fr-FR"/>
              </w:rPr>
            </w:pPr>
            <w:r w:rsidRPr="00BC5D6E">
              <w:rPr>
                <w:rFonts w:ascii="Times New Roman" w:hAnsi="Times New Roman"/>
                <w:b/>
                <w:color w:val="000000"/>
                <w:sz w:val="22"/>
                <w:szCs w:val="22"/>
                <w:lang w:val="fr-FR"/>
              </w:rPr>
              <w:t>Année de l’enquête</w:t>
            </w:r>
          </w:p>
        </w:tc>
        <w:tc>
          <w:tcPr>
            <w:tcW w:w="1066" w:type="dxa"/>
            <w:shd w:val="clear" w:color="auto" w:fill="auto"/>
          </w:tcPr>
          <w:p w:rsidR="00195FD7" w:rsidRPr="00BC5D6E" w:rsidRDefault="00195FD7" w:rsidP="00BC5D6E">
            <w:pPr>
              <w:tabs>
                <w:tab w:val="left" w:pos="560"/>
                <w:tab w:val="left" w:pos="1120"/>
                <w:tab w:val="left" w:pos="1680"/>
                <w:tab w:val="left" w:pos="2240"/>
                <w:tab w:val="left" w:pos="2800"/>
                <w:tab w:val="left" w:pos="3360"/>
                <w:tab w:val="left" w:pos="392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BC5D6E">
              <w:rPr>
                <w:rFonts w:ascii="Times New Roman" w:hAnsi="Times New Roman"/>
                <w:b/>
                <w:color w:val="000000"/>
                <w:sz w:val="22"/>
                <w:szCs w:val="22"/>
                <w:lang w:val="fr-FR"/>
              </w:rPr>
              <w:t>1992</w:t>
            </w:r>
          </w:p>
        </w:tc>
        <w:tc>
          <w:tcPr>
            <w:tcW w:w="1134" w:type="dxa"/>
            <w:shd w:val="clear" w:color="auto" w:fill="auto"/>
          </w:tcPr>
          <w:p w:rsidR="00195FD7" w:rsidRPr="00BC5D6E" w:rsidRDefault="00195FD7"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BC5D6E">
              <w:rPr>
                <w:rFonts w:ascii="Times New Roman" w:hAnsi="Times New Roman"/>
                <w:b/>
                <w:color w:val="000000"/>
                <w:sz w:val="22"/>
                <w:szCs w:val="22"/>
                <w:lang w:val="fr-FR"/>
              </w:rPr>
              <w:t>1998</w:t>
            </w:r>
          </w:p>
        </w:tc>
        <w:tc>
          <w:tcPr>
            <w:tcW w:w="1134" w:type="dxa"/>
            <w:shd w:val="clear" w:color="auto" w:fill="auto"/>
          </w:tcPr>
          <w:p w:rsidR="00195FD7" w:rsidRPr="00BC5D6E" w:rsidRDefault="00195FD7"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BC5D6E">
              <w:rPr>
                <w:rFonts w:ascii="Times New Roman" w:hAnsi="Times New Roman"/>
                <w:b/>
                <w:color w:val="000000"/>
                <w:sz w:val="22"/>
                <w:szCs w:val="22"/>
                <w:lang w:val="fr-FR"/>
              </w:rPr>
              <w:t>2004</w:t>
            </w:r>
          </w:p>
        </w:tc>
      </w:tr>
      <w:tr w:rsidR="00BC5D6E" w:rsidRPr="00BC5D6E" w:rsidTr="00BC5D6E">
        <w:tc>
          <w:tcPr>
            <w:tcW w:w="4644" w:type="dxa"/>
            <w:shd w:val="clear" w:color="auto" w:fill="auto"/>
          </w:tcPr>
          <w:p w:rsidR="00195FD7" w:rsidRPr="00BC5D6E" w:rsidRDefault="00195FD7"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b/>
                <w:color w:val="000000"/>
                <w:sz w:val="22"/>
                <w:szCs w:val="22"/>
                <w:lang w:val="fr-FR"/>
              </w:rPr>
            </w:pPr>
            <w:r w:rsidRPr="00BC5D6E">
              <w:rPr>
                <w:rFonts w:ascii="Times New Roman" w:hAnsi="Times New Roman"/>
                <w:b/>
                <w:color w:val="000000"/>
                <w:sz w:val="22"/>
                <w:szCs w:val="22"/>
                <w:lang w:val="fr-FR"/>
              </w:rPr>
              <w:t>Débrayage</w:t>
            </w:r>
          </w:p>
        </w:tc>
        <w:tc>
          <w:tcPr>
            <w:tcW w:w="1066"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7,5</w:t>
            </w:r>
          </w:p>
        </w:tc>
        <w:tc>
          <w:tcPr>
            <w:tcW w:w="1134"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13</w:t>
            </w:r>
          </w:p>
        </w:tc>
        <w:tc>
          <w:tcPr>
            <w:tcW w:w="1134"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16,8</w:t>
            </w:r>
          </w:p>
        </w:tc>
      </w:tr>
      <w:tr w:rsidR="00BC5D6E" w:rsidRPr="00BC5D6E" w:rsidTr="00BC5D6E">
        <w:tc>
          <w:tcPr>
            <w:tcW w:w="4644" w:type="dxa"/>
            <w:shd w:val="clear" w:color="auto" w:fill="auto"/>
          </w:tcPr>
          <w:p w:rsidR="00195FD7" w:rsidRPr="00BC5D6E" w:rsidRDefault="00195FD7"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b/>
                <w:color w:val="000000"/>
                <w:sz w:val="22"/>
                <w:szCs w:val="22"/>
                <w:lang w:val="fr-FR"/>
              </w:rPr>
            </w:pPr>
            <w:r w:rsidRPr="00BC5D6E">
              <w:rPr>
                <w:rFonts w:ascii="Times New Roman" w:hAnsi="Times New Roman"/>
                <w:b/>
                <w:color w:val="000000"/>
                <w:sz w:val="22"/>
                <w:szCs w:val="22"/>
                <w:lang w:val="fr-FR"/>
              </w:rPr>
              <w:t>Grève de moins de deux jours</w:t>
            </w:r>
          </w:p>
        </w:tc>
        <w:tc>
          <w:tcPr>
            <w:tcW w:w="1066"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13</w:t>
            </w:r>
          </w:p>
        </w:tc>
        <w:tc>
          <w:tcPr>
            <w:tcW w:w="1134"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13,1</w:t>
            </w:r>
          </w:p>
        </w:tc>
        <w:tc>
          <w:tcPr>
            <w:tcW w:w="1134" w:type="dxa"/>
            <w:shd w:val="clear" w:color="auto" w:fill="auto"/>
          </w:tcPr>
          <w:p w:rsidR="00195FD7" w:rsidRPr="0024173D"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u w:val="single"/>
                <w:lang w:val="fr-FR"/>
              </w:rPr>
            </w:pPr>
            <w:r w:rsidRPr="0024173D">
              <w:rPr>
                <w:rFonts w:ascii="Times New Roman" w:hAnsi="Times New Roman"/>
                <w:b/>
                <w:color w:val="000000"/>
                <w:sz w:val="22"/>
                <w:szCs w:val="22"/>
                <w:u w:val="single"/>
                <w:lang w:val="fr-FR"/>
              </w:rPr>
              <w:t>14,8</w:t>
            </w:r>
          </w:p>
        </w:tc>
      </w:tr>
      <w:tr w:rsidR="00BC5D6E" w:rsidRPr="00BC5D6E" w:rsidTr="00BC5D6E">
        <w:tc>
          <w:tcPr>
            <w:tcW w:w="4644" w:type="dxa"/>
            <w:shd w:val="clear" w:color="auto" w:fill="auto"/>
          </w:tcPr>
          <w:p w:rsidR="00195FD7" w:rsidRPr="00BC5D6E" w:rsidRDefault="00195FD7"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b/>
                <w:color w:val="000000"/>
                <w:sz w:val="22"/>
                <w:szCs w:val="22"/>
                <w:lang w:val="fr-FR"/>
              </w:rPr>
            </w:pPr>
            <w:r w:rsidRPr="00BC5D6E">
              <w:rPr>
                <w:rFonts w:ascii="Times New Roman" w:hAnsi="Times New Roman"/>
                <w:b/>
                <w:color w:val="000000"/>
                <w:sz w:val="22"/>
                <w:szCs w:val="22"/>
                <w:lang w:val="fr-FR"/>
              </w:rPr>
              <w:t>Grève de plus de deux jours</w:t>
            </w:r>
          </w:p>
        </w:tc>
        <w:tc>
          <w:tcPr>
            <w:tcW w:w="1066"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2,8</w:t>
            </w:r>
          </w:p>
        </w:tc>
        <w:tc>
          <w:tcPr>
            <w:tcW w:w="1134"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5,7</w:t>
            </w:r>
          </w:p>
        </w:tc>
        <w:tc>
          <w:tcPr>
            <w:tcW w:w="1134"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4,8</w:t>
            </w:r>
          </w:p>
        </w:tc>
      </w:tr>
      <w:tr w:rsidR="00BC5D6E" w:rsidRPr="00BC5D6E" w:rsidTr="00BC5D6E">
        <w:tc>
          <w:tcPr>
            <w:tcW w:w="4644" w:type="dxa"/>
            <w:shd w:val="clear" w:color="auto" w:fill="auto"/>
          </w:tcPr>
          <w:p w:rsidR="00195FD7" w:rsidRPr="00BC5D6E" w:rsidRDefault="00195FD7"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b/>
                <w:color w:val="000000"/>
                <w:sz w:val="22"/>
                <w:szCs w:val="22"/>
                <w:lang w:val="fr-FR"/>
              </w:rPr>
            </w:pPr>
            <w:r w:rsidRPr="00BC5D6E">
              <w:rPr>
                <w:rFonts w:ascii="Times New Roman" w:hAnsi="Times New Roman"/>
                <w:b/>
                <w:color w:val="000000"/>
                <w:sz w:val="22"/>
                <w:szCs w:val="22"/>
                <w:lang w:val="fr-FR"/>
              </w:rPr>
              <w:t>Refus d’heures supplémentaires</w:t>
            </w:r>
          </w:p>
        </w:tc>
        <w:tc>
          <w:tcPr>
            <w:tcW w:w="1066"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6,1</w:t>
            </w:r>
          </w:p>
        </w:tc>
        <w:tc>
          <w:tcPr>
            <w:tcW w:w="1134"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4,2</w:t>
            </w:r>
          </w:p>
        </w:tc>
        <w:tc>
          <w:tcPr>
            <w:tcW w:w="1134"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10,8</w:t>
            </w:r>
          </w:p>
        </w:tc>
      </w:tr>
      <w:tr w:rsidR="00BC5D6E" w:rsidRPr="00BC5D6E" w:rsidTr="00BC5D6E">
        <w:tc>
          <w:tcPr>
            <w:tcW w:w="4644" w:type="dxa"/>
            <w:shd w:val="clear" w:color="auto" w:fill="auto"/>
          </w:tcPr>
          <w:p w:rsidR="00195FD7" w:rsidRPr="00BC5D6E" w:rsidRDefault="00195FD7"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b/>
                <w:color w:val="000000"/>
                <w:sz w:val="22"/>
                <w:szCs w:val="22"/>
                <w:lang w:val="fr-FR"/>
              </w:rPr>
            </w:pPr>
            <w:r w:rsidRPr="00BC5D6E">
              <w:rPr>
                <w:rFonts w:ascii="Times New Roman" w:hAnsi="Times New Roman"/>
                <w:b/>
                <w:color w:val="000000"/>
                <w:sz w:val="22"/>
                <w:szCs w:val="22"/>
                <w:lang w:val="fr-FR"/>
              </w:rPr>
              <w:t>Grèves perlées, grèves du zèle</w:t>
            </w:r>
          </w:p>
        </w:tc>
        <w:tc>
          <w:tcPr>
            <w:tcW w:w="1066"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2,9</w:t>
            </w:r>
          </w:p>
        </w:tc>
        <w:tc>
          <w:tcPr>
            <w:tcW w:w="1134"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3,1</w:t>
            </w:r>
          </w:p>
        </w:tc>
        <w:tc>
          <w:tcPr>
            <w:tcW w:w="1134" w:type="dxa"/>
            <w:shd w:val="clear" w:color="auto" w:fill="auto"/>
          </w:tcPr>
          <w:p w:rsidR="00195FD7" w:rsidRPr="0024173D"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u w:val="single"/>
                <w:lang w:val="fr-FR"/>
              </w:rPr>
            </w:pPr>
            <w:r w:rsidRPr="0024173D">
              <w:rPr>
                <w:rFonts w:ascii="Times New Roman" w:hAnsi="Times New Roman"/>
                <w:b/>
                <w:color w:val="000000"/>
                <w:sz w:val="22"/>
                <w:szCs w:val="22"/>
                <w:u w:val="single"/>
                <w:lang w:val="fr-FR"/>
              </w:rPr>
              <w:t>4,8</w:t>
            </w:r>
          </w:p>
        </w:tc>
      </w:tr>
      <w:tr w:rsidR="00BC5D6E" w:rsidRPr="00BC5D6E" w:rsidTr="00BC5D6E">
        <w:tc>
          <w:tcPr>
            <w:tcW w:w="4644" w:type="dxa"/>
            <w:shd w:val="clear" w:color="auto" w:fill="auto"/>
          </w:tcPr>
          <w:p w:rsidR="00195FD7" w:rsidRPr="00BC5D6E" w:rsidRDefault="00195FD7"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b/>
                <w:color w:val="000000"/>
                <w:sz w:val="22"/>
                <w:szCs w:val="22"/>
                <w:lang w:val="fr-FR"/>
              </w:rPr>
            </w:pPr>
            <w:r w:rsidRPr="00BC5D6E">
              <w:rPr>
                <w:rFonts w:ascii="Times New Roman" w:hAnsi="Times New Roman"/>
                <w:b/>
                <w:color w:val="000000"/>
                <w:sz w:val="22"/>
                <w:szCs w:val="22"/>
                <w:lang w:val="fr-FR"/>
              </w:rPr>
              <w:t>Manifestations</w:t>
            </w:r>
          </w:p>
        </w:tc>
        <w:tc>
          <w:tcPr>
            <w:tcW w:w="1066"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9,8</w:t>
            </w:r>
          </w:p>
        </w:tc>
        <w:tc>
          <w:tcPr>
            <w:tcW w:w="1134"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9,8</w:t>
            </w:r>
          </w:p>
        </w:tc>
        <w:tc>
          <w:tcPr>
            <w:tcW w:w="1134"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12,2</w:t>
            </w:r>
          </w:p>
        </w:tc>
      </w:tr>
      <w:tr w:rsidR="00BC5D6E" w:rsidRPr="00BC5D6E" w:rsidTr="00BC5D6E">
        <w:tc>
          <w:tcPr>
            <w:tcW w:w="4644" w:type="dxa"/>
            <w:shd w:val="clear" w:color="auto" w:fill="auto"/>
          </w:tcPr>
          <w:p w:rsidR="00195FD7" w:rsidRPr="00BC5D6E" w:rsidRDefault="00195FD7"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b/>
                <w:color w:val="000000"/>
                <w:sz w:val="22"/>
                <w:szCs w:val="22"/>
                <w:lang w:val="fr-FR"/>
              </w:rPr>
            </w:pPr>
            <w:r w:rsidRPr="00BC5D6E">
              <w:rPr>
                <w:rFonts w:ascii="Times New Roman" w:hAnsi="Times New Roman"/>
                <w:b/>
                <w:color w:val="000000"/>
                <w:sz w:val="22"/>
                <w:szCs w:val="22"/>
                <w:lang w:val="fr-FR"/>
              </w:rPr>
              <w:t>Pétitions</w:t>
            </w:r>
          </w:p>
        </w:tc>
        <w:tc>
          <w:tcPr>
            <w:tcW w:w="1066"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13,1</w:t>
            </w:r>
          </w:p>
        </w:tc>
        <w:tc>
          <w:tcPr>
            <w:tcW w:w="1134"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14,6</w:t>
            </w:r>
          </w:p>
        </w:tc>
        <w:tc>
          <w:tcPr>
            <w:tcW w:w="1134"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17,9</w:t>
            </w:r>
          </w:p>
        </w:tc>
      </w:tr>
      <w:tr w:rsidR="00BC5D6E" w:rsidRPr="00BC5D6E" w:rsidTr="00BC5D6E">
        <w:tc>
          <w:tcPr>
            <w:tcW w:w="4644" w:type="dxa"/>
            <w:shd w:val="clear" w:color="auto" w:fill="auto"/>
          </w:tcPr>
          <w:p w:rsidR="00195FD7" w:rsidRPr="00BC5D6E" w:rsidRDefault="00195FD7"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b/>
                <w:color w:val="000000"/>
                <w:sz w:val="22"/>
                <w:szCs w:val="22"/>
                <w:lang w:val="fr-FR"/>
              </w:rPr>
            </w:pPr>
            <w:r w:rsidRPr="00BC5D6E">
              <w:rPr>
                <w:rFonts w:ascii="Times New Roman" w:hAnsi="Times New Roman"/>
                <w:b/>
                <w:color w:val="000000"/>
                <w:sz w:val="22"/>
                <w:szCs w:val="22"/>
                <w:lang w:val="fr-FR"/>
              </w:rPr>
              <w:t>Autres conflits</w:t>
            </w:r>
          </w:p>
        </w:tc>
        <w:tc>
          <w:tcPr>
            <w:tcW w:w="1066"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1</w:t>
            </w:r>
          </w:p>
        </w:tc>
        <w:tc>
          <w:tcPr>
            <w:tcW w:w="1134"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2,5</w:t>
            </w:r>
          </w:p>
        </w:tc>
        <w:tc>
          <w:tcPr>
            <w:tcW w:w="1134" w:type="dxa"/>
            <w:shd w:val="clear" w:color="auto" w:fill="auto"/>
          </w:tcPr>
          <w:p w:rsidR="00195FD7" w:rsidRPr="00BC5D6E" w:rsidRDefault="004254C1" w:rsidP="00BC5D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sidRPr="00BC5D6E">
              <w:rPr>
                <w:rFonts w:ascii="Times New Roman" w:hAnsi="Times New Roman"/>
                <w:color w:val="000000"/>
                <w:sz w:val="22"/>
                <w:szCs w:val="22"/>
                <w:lang w:val="fr-FR"/>
              </w:rPr>
              <w:t>4,4</w:t>
            </w:r>
          </w:p>
        </w:tc>
      </w:tr>
    </w:tbl>
    <w:p w:rsidR="00915B15" w:rsidRPr="009C711D" w:rsidRDefault="00457595" w:rsidP="00B615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Pr>
          <w:rFonts w:ascii="Times New Roman" w:hAnsi="Times New Roman"/>
          <w:color w:val="000000"/>
          <w:sz w:val="22"/>
          <w:szCs w:val="22"/>
          <w:lang w:val="fr-FR"/>
        </w:rPr>
        <w:t xml:space="preserve">Source : d’après Sophie </w:t>
      </w:r>
      <w:proofErr w:type="spellStart"/>
      <w:r>
        <w:rPr>
          <w:rFonts w:ascii="Times New Roman" w:hAnsi="Times New Roman"/>
          <w:color w:val="000000"/>
          <w:sz w:val="22"/>
          <w:szCs w:val="22"/>
          <w:lang w:val="fr-FR"/>
        </w:rPr>
        <w:t>Béroud</w:t>
      </w:r>
      <w:proofErr w:type="spellEnd"/>
      <w:r>
        <w:rPr>
          <w:rFonts w:ascii="Times New Roman" w:hAnsi="Times New Roman"/>
          <w:color w:val="000000"/>
          <w:sz w:val="22"/>
          <w:szCs w:val="22"/>
          <w:lang w:val="fr-FR"/>
        </w:rPr>
        <w:t xml:space="preserve"> (et </w:t>
      </w:r>
      <w:proofErr w:type="spellStart"/>
      <w:r>
        <w:rPr>
          <w:rFonts w:ascii="Times New Roman" w:hAnsi="Times New Roman"/>
          <w:color w:val="000000"/>
          <w:sz w:val="22"/>
          <w:szCs w:val="22"/>
          <w:lang w:val="fr-FR"/>
        </w:rPr>
        <w:t>alii</w:t>
      </w:r>
      <w:proofErr w:type="spellEnd"/>
      <w:r>
        <w:rPr>
          <w:rFonts w:ascii="Times New Roman" w:hAnsi="Times New Roman"/>
          <w:color w:val="000000"/>
          <w:sz w:val="22"/>
          <w:szCs w:val="22"/>
          <w:lang w:val="fr-FR"/>
        </w:rPr>
        <w:t xml:space="preserve">), </w:t>
      </w:r>
      <w:r w:rsidRPr="00CD0A48">
        <w:rPr>
          <w:rFonts w:ascii="Times New Roman" w:hAnsi="Times New Roman"/>
          <w:i/>
          <w:color w:val="000000"/>
          <w:sz w:val="22"/>
          <w:szCs w:val="22"/>
          <w:lang w:val="fr-FR"/>
        </w:rPr>
        <w:t>La Lutte continue ? Les conflits du travail dans la France contemporaine</w:t>
      </w:r>
      <w:r>
        <w:rPr>
          <w:rFonts w:ascii="Times New Roman" w:hAnsi="Times New Roman"/>
          <w:color w:val="000000"/>
          <w:sz w:val="22"/>
          <w:szCs w:val="22"/>
          <w:lang w:val="fr-FR"/>
        </w:rPr>
        <w:t>, Editions du croquant, 2008.</w:t>
      </w:r>
    </w:p>
    <w:sectPr w:rsidR="00915B15" w:rsidRPr="009C711D">
      <w:footerReference w:type="default" r:id="rId6"/>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D6E" w:rsidRDefault="00BC5D6E" w:rsidP="009C711D">
      <w:r>
        <w:separator/>
      </w:r>
    </w:p>
  </w:endnote>
  <w:endnote w:type="continuationSeparator" w:id="0">
    <w:p w:rsidR="00BC5D6E" w:rsidRDefault="00BC5D6E"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D6E" w:rsidRDefault="00BC5D6E" w:rsidP="009C711D">
      <w:r>
        <w:separator/>
      </w:r>
    </w:p>
  </w:footnote>
  <w:footnote w:type="continuationSeparator" w:id="0">
    <w:p w:rsidR="00BC5D6E" w:rsidRDefault="00BC5D6E"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7D7"/>
    <w:rsid w:val="0002743E"/>
    <w:rsid w:val="00042E65"/>
    <w:rsid w:val="00081244"/>
    <w:rsid w:val="00195FD7"/>
    <w:rsid w:val="001A16C8"/>
    <w:rsid w:val="001A6141"/>
    <w:rsid w:val="0024173D"/>
    <w:rsid w:val="004054BB"/>
    <w:rsid w:val="004254C1"/>
    <w:rsid w:val="00457595"/>
    <w:rsid w:val="00500C8B"/>
    <w:rsid w:val="005F742A"/>
    <w:rsid w:val="006023D7"/>
    <w:rsid w:val="007A751A"/>
    <w:rsid w:val="008B4176"/>
    <w:rsid w:val="00915B15"/>
    <w:rsid w:val="009C711D"/>
    <w:rsid w:val="00A111AB"/>
    <w:rsid w:val="00A24FC4"/>
    <w:rsid w:val="00AC472F"/>
    <w:rsid w:val="00AE6E4C"/>
    <w:rsid w:val="00B61595"/>
    <w:rsid w:val="00B80B45"/>
    <w:rsid w:val="00B85357"/>
    <w:rsid w:val="00BC5D6E"/>
    <w:rsid w:val="00C1596C"/>
    <w:rsid w:val="00CD0A48"/>
    <w:rsid w:val="00D06B1E"/>
    <w:rsid w:val="00D06BFB"/>
    <w:rsid w:val="00D22612"/>
    <w:rsid w:val="00D57456"/>
    <w:rsid w:val="00DB4AD4"/>
    <w:rsid w:val="00E167D7"/>
    <w:rsid w:val="00E94CFA"/>
    <w:rsid w:val="00EE111F"/>
    <w:rsid w:val="00F527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B5B4DD44-4187-43E7-B5B5-4E72B4F76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Policepardfaut1">
    <w:name w:val="Police par défaut1"/>
  </w:style>
  <w:style w:type="paragraph" w:customStyle="1" w:styleId="Titre10">
    <w:name w:val="Titre1"/>
    <w:basedOn w:val="Normal"/>
    <w:next w:val="Corpsdetexte"/>
    <w:pPr>
      <w:keepNext/>
      <w:spacing w:before="240" w:after="120"/>
    </w:pPr>
    <w:rPr>
      <w:rFonts w:ascii="Arial" w:eastAsia="Arial Unicode MS" w:hAnsi="Arial" w:cs="Arial Unicode MS"/>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szCs w:val="24"/>
    </w:rPr>
  </w:style>
  <w:style w:type="paragraph" w:customStyle="1" w:styleId="Index">
    <w:name w:val="Index"/>
    <w:basedOn w:val="Normal"/>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link w:val="Pieddepage"/>
    <w:uiPriority w:val="99"/>
    <w:semiHidden/>
    <w:rsid w:val="009C711D"/>
    <w:rPr>
      <w:rFonts w:ascii="Helvetica" w:eastAsia="Helvetica" w:hAnsi="Helvetica" w:cs="Mangal"/>
      <w:sz w:val="2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402</Words>
  <Characters>2216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6</cp:revision>
  <cp:lastPrinted>1900-12-31T23:00:00Z</cp:lastPrinted>
  <dcterms:created xsi:type="dcterms:W3CDTF">2016-03-07T20:45:00Z</dcterms:created>
  <dcterms:modified xsi:type="dcterms:W3CDTF">2016-04-14T06:45:00Z</dcterms:modified>
</cp:coreProperties>
</file>