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6"/>
        <w:gridCol w:w="4593"/>
        <w:gridCol w:w="2549"/>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6F5AED">
              <w:rPr>
                <w:rFonts w:ascii="Times New Roman" w:hAnsi="Times New Roman" w:cs="Times New Roman"/>
                <w:b/>
                <w:sz w:val="22"/>
                <w:szCs w:val="22"/>
              </w:rPr>
              <w:t>121.3</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C45A1F">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C45A1F" w:rsidTr="001A16C8">
        <w:tc>
          <w:tcPr>
            <w:tcW w:w="9778" w:type="dxa"/>
            <w:gridSpan w:val="3"/>
          </w:tcPr>
          <w:p w:rsidR="000741AF" w:rsidRPr="000741AF" w:rsidRDefault="000741AF" w:rsidP="00475391">
            <w:pPr>
              <w:jc w:val="both"/>
              <w:rPr>
                <w:rFonts w:ascii="Times New Roman" w:hAnsi="Times New Roman" w:cs="Times New Roman"/>
                <w:b/>
                <w:sz w:val="6"/>
                <w:szCs w:val="6"/>
                <w:lang w:val="fr-FR"/>
              </w:rPr>
            </w:pPr>
          </w:p>
          <w:p w:rsidR="00E167D7" w:rsidRPr="0085315E" w:rsidRDefault="00E167D7" w:rsidP="000741AF">
            <w:pPr>
              <w:spacing w:line="300" w:lineRule="exact"/>
              <w:jc w:val="both"/>
              <w:rPr>
                <w:rFonts w:ascii="Times New Roman" w:hAnsi="Times New Roman" w:cs="Times New Roman"/>
                <w:b/>
                <w:sz w:val="22"/>
                <w:szCs w:val="22"/>
                <w:lang w:val="fr-FR"/>
              </w:rPr>
            </w:pPr>
            <w:r w:rsidRPr="009C711D">
              <w:rPr>
                <w:rFonts w:ascii="Times New Roman" w:hAnsi="Times New Roman" w:cs="Times New Roman"/>
                <w:b/>
                <w:sz w:val="22"/>
                <w:szCs w:val="22"/>
                <w:lang w:val="fr-FR"/>
              </w:rPr>
              <w:t>Thème de la question principale :</w:t>
            </w:r>
            <w:r w:rsidR="00E94CFA" w:rsidRPr="009C711D">
              <w:rPr>
                <w:rFonts w:ascii="Times New Roman" w:hAnsi="Times New Roman" w:cs="Times New Roman"/>
                <w:b/>
                <w:sz w:val="22"/>
                <w:szCs w:val="22"/>
                <w:lang w:val="fr-FR"/>
              </w:rPr>
              <w:t xml:space="preserve"> </w:t>
            </w:r>
            <w:r w:rsidR="00475391" w:rsidRPr="0085315E">
              <w:rPr>
                <w:rFonts w:ascii="Times New Roman" w:hAnsi="Times New Roman" w:cs="Times New Roman"/>
                <w:b/>
                <w:sz w:val="22"/>
                <w:szCs w:val="22"/>
                <w:lang w:val="fr-FR"/>
              </w:rPr>
              <w:t>Quels sont les fondements du commerce international et de l’internationalisation de la production ?</w:t>
            </w:r>
          </w:p>
          <w:p w:rsidR="000741AF" w:rsidRPr="000741AF" w:rsidRDefault="000741AF" w:rsidP="00475391">
            <w:pPr>
              <w:jc w:val="both"/>
              <w:rPr>
                <w:rFonts w:ascii="Times New Roman" w:hAnsi="Times New Roman" w:cs="Times New Roman"/>
                <w:b/>
                <w:sz w:val="6"/>
                <w:szCs w:val="6"/>
                <w:lang w:val="fr-FR"/>
              </w:rPr>
            </w:pPr>
          </w:p>
        </w:tc>
      </w:tr>
      <w:tr w:rsidR="00E167D7" w:rsidRPr="00C45A1F" w:rsidTr="001A16C8">
        <w:tc>
          <w:tcPr>
            <w:tcW w:w="9778" w:type="dxa"/>
            <w:gridSpan w:val="3"/>
          </w:tcPr>
          <w:p w:rsidR="000741AF" w:rsidRPr="000741AF" w:rsidRDefault="000741AF" w:rsidP="00475391">
            <w:pPr>
              <w:jc w:val="both"/>
              <w:rPr>
                <w:rFonts w:ascii="Times New Roman" w:hAnsi="Times New Roman" w:cs="Times New Roman"/>
                <w:b/>
                <w:sz w:val="6"/>
                <w:szCs w:val="6"/>
                <w:lang w:val="fr-FR"/>
              </w:rPr>
            </w:pPr>
          </w:p>
          <w:p w:rsidR="00E167D7" w:rsidRPr="0085315E" w:rsidRDefault="00E167D7" w:rsidP="000741AF">
            <w:pPr>
              <w:spacing w:line="300" w:lineRule="atLeast"/>
              <w:jc w:val="both"/>
              <w:rPr>
                <w:rFonts w:ascii="Times New Roman" w:hAnsi="Times New Roman" w:cs="Times New Roman"/>
                <w:b/>
                <w:sz w:val="22"/>
                <w:szCs w:val="22"/>
                <w:lang w:val="fr-FR" w:eastAsia="fr-FR"/>
              </w:rPr>
            </w:pPr>
            <w:r w:rsidRPr="00475391">
              <w:rPr>
                <w:rFonts w:ascii="Times New Roman" w:hAnsi="Times New Roman" w:cs="Times New Roman"/>
                <w:b/>
                <w:sz w:val="22"/>
                <w:szCs w:val="22"/>
                <w:lang w:val="fr-FR"/>
              </w:rPr>
              <w:t>Question principale (sur 10 points) :</w:t>
            </w:r>
            <w:r w:rsidR="00475391" w:rsidRPr="00475391">
              <w:rPr>
                <w:rFonts w:ascii="Times New Roman" w:hAnsi="Times New Roman" w:cs="Times New Roman"/>
                <w:b/>
                <w:sz w:val="22"/>
                <w:szCs w:val="22"/>
                <w:lang w:val="fr-FR"/>
              </w:rPr>
              <w:t xml:space="preserve"> Vous montrerez  </w:t>
            </w:r>
            <w:r w:rsidR="00475391" w:rsidRPr="0085315E">
              <w:rPr>
                <w:rFonts w:ascii="Times New Roman" w:hAnsi="Times New Roman" w:cs="Times New Roman"/>
                <w:b/>
                <w:sz w:val="22"/>
                <w:szCs w:val="22"/>
                <w:lang w:val="fr-FR" w:eastAsia="fr-FR"/>
              </w:rPr>
              <w:t>que le coût de la main-d’œuvre n’est pas le seul déterminant des stratégies de localisation des FMN.</w:t>
            </w:r>
          </w:p>
          <w:p w:rsidR="000741AF" w:rsidRPr="0085315E" w:rsidRDefault="000741AF" w:rsidP="00475391">
            <w:pPr>
              <w:jc w:val="both"/>
              <w:rPr>
                <w:rFonts w:ascii="Times New Roman" w:hAnsi="Times New Roman" w:cs="Times New Roman"/>
                <w:sz w:val="6"/>
                <w:szCs w:val="6"/>
                <w:lang w:val="fr-FR" w:eastAsia="fr-FR"/>
              </w:rPr>
            </w:pPr>
          </w:p>
        </w:tc>
      </w:tr>
      <w:tr w:rsidR="00E167D7" w:rsidRPr="009C711D" w:rsidTr="001A16C8">
        <w:tc>
          <w:tcPr>
            <w:tcW w:w="9778" w:type="dxa"/>
            <w:gridSpan w:val="3"/>
          </w:tcPr>
          <w:p w:rsidR="000741AF" w:rsidRPr="000741AF" w:rsidRDefault="000741AF">
            <w:pPr>
              <w:rPr>
                <w:rFonts w:ascii="Times New Roman" w:hAnsi="Times New Roman" w:cs="Times New Roman"/>
                <w:b/>
                <w:sz w:val="6"/>
                <w:szCs w:val="6"/>
                <w:lang w:val="fr-FR"/>
              </w:rPr>
            </w:pPr>
          </w:p>
          <w:p w:rsidR="00E167D7"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p w:rsidR="000741AF" w:rsidRPr="000741AF" w:rsidRDefault="000741AF">
            <w:pPr>
              <w:rPr>
                <w:rFonts w:ascii="Times New Roman" w:hAnsi="Times New Roman" w:cs="Times New Roman"/>
                <w:b/>
                <w:sz w:val="6"/>
                <w:szCs w:val="6"/>
                <w:lang w:val="fr-FR"/>
              </w:rPr>
            </w:pPr>
          </w:p>
        </w:tc>
      </w:tr>
      <w:tr w:rsidR="00E167D7" w:rsidRPr="0085315E" w:rsidTr="001A16C8">
        <w:tc>
          <w:tcPr>
            <w:tcW w:w="9778" w:type="dxa"/>
            <w:gridSpan w:val="3"/>
          </w:tcPr>
          <w:p w:rsidR="000741AF" w:rsidRPr="000741AF" w:rsidRDefault="000741AF" w:rsidP="00ED6BE5">
            <w:pPr>
              <w:rPr>
                <w:rFonts w:ascii="Times New Roman" w:hAnsi="Times New Roman" w:cs="Times New Roman"/>
                <w:sz w:val="6"/>
                <w:szCs w:val="6"/>
                <w:lang w:val="fr-FR"/>
              </w:rPr>
            </w:pPr>
          </w:p>
          <w:p w:rsidR="00E167D7" w:rsidRPr="0085315E" w:rsidRDefault="00B80B45" w:rsidP="00ED6BE5">
            <w:pPr>
              <w:rPr>
                <w:rFonts w:ascii="Times New Roman" w:hAnsi="Times New Roman" w:cs="Times New Roman"/>
                <w:sz w:val="22"/>
                <w:szCs w:val="22"/>
                <w:lang w:val="fr-FR"/>
              </w:rPr>
            </w:pPr>
            <w:r w:rsidRPr="000A1BF5">
              <w:rPr>
                <w:rFonts w:ascii="Times New Roman" w:hAnsi="Times New Roman" w:cs="Times New Roman"/>
                <w:sz w:val="22"/>
                <w:szCs w:val="22"/>
                <w:lang w:val="fr-FR"/>
              </w:rPr>
              <w:t>1</w:t>
            </w:r>
            <w:r w:rsidR="00E167D7" w:rsidRPr="000A1BF5">
              <w:rPr>
                <w:rFonts w:ascii="Times New Roman" w:hAnsi="Times New Roman" w:cs="Times New Roman"/>
                <w:sz w:val="22"/>
                <w:szCs w:val="22"/>
                <w:lang w:val="fr-FR"/>
              </w:rPr>
              <w:t xml:space="preserve">) </w:t>
            </w:r>
            <w:r w:rsidR="00ED6BE5" w:rsidRPr="0085315E">
              <w:rPr>
                <w:rFonts w:ascii="Times New Roman" w:hAnsi="Times New Roman" w:cs="Times New Roman"/>
                <w:sz w:val="22"/>
                <w:szCs w:val="22"/>
                <w:lang w:val="fr-FR"/>
              </w:rPr>
              <w:t>Don</w:t>
            </w:r>
            <w:r w:rsidR="0085315E">
              <w:rPr>
                <w:rFonts w:ascii="Times New Roman" w:hAnsi="Times New Roman" w:cs="Times New Roman"/>
                <w:sz w:val="22"/>
                <w:szCs w:val="22"/>
                <w:lang w:val="fr-FR"/>
              </w:rPr>
              <w:t>nez la signification des valeurs</w:t>
            </w:r>
            <w:r w:rsidR="00ED6BE5" w:rsidRPr="0085315E">
              <w:rPr>
                <w:rFonts w:ascii="Times New Roman" w:hAnsi="Times New Roman" w:cs="Times New Roman"/>
                <w:sz w:val="22"/>
                <w:szCs w:val="22"/>
                <w:lang w:val="fr-FR"/>
              </w:rPr>
              <w:t xml:space="preserve"> chiffrées en caractères gras</w:t>
            </w:r>
            <w:r w:rsidR="00C45A1F">
              <w:rPr>
                <w:rFonts w:ascii="Times New Roman" w:hAnsi="Times New Roman" w:cs="Times New Roman"/>
                <w:sz w:val="22"/>
                <w:szCs w:val="22"/>
                <w:lang w:val="fr-FR"/>
              </w:rPr>
              <w:t>. (d</w:t>
            </w:r>
            <w:bookmarkStart w:id="0" w:name="_GoBack"/>
            <w:bookmarkEnd w:id="0"/>
            <w:r w:rsidR="0085315E">
              <w:rPr>
                <w:rFonts w:ascii="Times New Roman" w:hAnsi="Times New Roman" w:cs="Times New Roman"/>
                <w:sz w:val="22"/>
                <w:szCs w:val="22"/>
                <w:lang w:val="fr-FR"/>
              </w:rPr>
              <w:t>ocument 1). (4 points)</w:t>
            </w:r>
          </w:p>
          <w:p w:rsidR="000741AF" w:rsidRPr="0085315E" w:rsidRDefault="000741AF" w:rsidP="00ED6BE5">
            <w:pPr>
              <w:rPr>
                <w:rFonts w:ascii="Times New Roman" w:hAnsi="Times New Roman" w:cs="Times New Roman"/>
                <w:sz w:val="6"/>
                <w:szCs w:val="6"/>
                <w:lang w:val="fr-FR"/>
              </w:rPr>
            </w:pPr>
          </w:p>
        </w:tc>
      </w:tr>
      <w:tr w:rsidR="00E167D7" w:rsidRPr="00C45A1F" w:rsidTr="001A16C8">
        <w:tc>
          <w:tcPr>
            <w:tcW w:w="9778" w:type="dxa"/>
            <w:gridSpan w:val="3"/>
          </w:tcPr>
          <w:p w:rsidR="000741AF" w:rsidRPr="000741AF" w:rsidRDefault="000741AF">
            <w:pPr>
              <w:rPr>
                <w:rFonts w:ascii="Times New Roman" w:hAnsi="Times New Roman" w:cs="Times New Roman"/>
                <w:sz w:val="6"/>
                <w:szCs w:val="6"/>
                <w:lang w:val="fr-FR"/>
              </w:rPr>
            </w:pPr>
          </w:p>
          <w:p w:rsidR="00E167D7" w:rsidRPr="0085315E" w:rsidRDefault="00B80B45">
            <w:pPr>
              <w:rPr>
                <w:rFonts w:ascii="Times New Roman" w:hAnsi="Times New Roman" w:cs="Times New Roman"/>
                <w:sz w:val="22"/>
                <w:szCs w:val="22"/>
                <w:lang w:val="fr-FR"/>
              </w:rPr>
            </w:pPr>
            <w:r w:rsidRPr="000A1BF5">
              <w:rPr>
                <w:rFonts w:ascii="Times New Roman" w:hAnsi="Times New Roman" w:cs="Times New Roman"/>
                <w:sz w:val="22"/>
                <w:szCs w:val="22"/>
                <w:lang w:val="fr-FR"/>
              </w:rPr>
              <w:t>2</w:t>
            </w:r>
            <w:r w:rsidR="00E167D7" w:rsidRPr="000A1BF5">
              <w:rPr>
                <w:rFonts w:ascii="Times New Roman" w:hAnsi="Times New Roman" w:cs="Times New Roman"/>
                <w:sz w:val="22"/>
                <w:szCs w:val="22"/>
                <w:lang w:val="fr-FR"/>
              </w:rPr>
              <w:t xml:space="preserve">) </w:t>
            </w:r>
            <w:r w:rsidR="00ED6BE5" w:rsidRPr="0085315E">
              <w:rPr>
                <w:rFonts w:ascii="Times New Roman" w:hAnsi="Times New Roman" w:cs="Times New Roman"/>
                <w:sz w:val="22"/>
                <w:szCs w:val="22"/>
                <w:lang w:val="fr-FR"/>
              </w:rPr>
              <w:t>Expliquez le paradoxe d’Anderson</w:t>
            </w:r>
            <w:r w:rsidR="0085315E">
              <w:rPr>
                <w:rFonts w:ascii="Times New Roman" w:hAnsi="Times New Roman" w:cs="Times New Roman"/>
                <w:sz w:val="22"/>
                <w:szCs w:val="22"/>
                <w:lang w:val="fr-FR"/>
              </w:rPr>
              <w:t>. (3 points)</w:t>
            </w:r>
          </w:p>
          <w:p w:rsidR="000741AF" w:rsidRPr="000741AF" w:rsidRDefault="000741AF">
            <w:pPr>
              <w:rPr>
                <w:rFonts w:ascii="Times New Roman" w:hAnsi="Times New Roman" w:cs="Times New Roman"/>
                <w:sz w:val="6"/>
                <w:szCs w:val="6"/>
                <w:lang w:val="fr-FR"/>
              </w:rPr>
            </w:pPr>
          </w:p>
        </w:tc>
      </w:tr>
      <w:tr w:rsidR="00E167D7" w:rsidRPr="0085315E" w:rsidTr="001A16C8">
        <w:tc>
          <w:tcPr>
            <w:tcW w:w="9778" w:type="dxa"/>
            <w:gridSpan w:val="3"/>
          </w:tcPr>
          <w:p w:rsidR="000741AF" w:rsidRPr="000741AF" w:rsidRDefault="000741AF">
            <w:pPr>
              <w:rPr>
                <w:rFonts w:ascii="Times New Roman" w:hAnsi="Times New Roman" w:cs="Times New Roman"/>
                <w:sz w:val="6"/>
                <w:szCs w:val="6"/>
                <w:lang w:val="fr-FR"/>
              </w:rPr>
            </w:pPr>
          </w:p>
          <w:p w:rsidR="00E167D7"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0A1BF5">
              <w:rPr>
                <w:rFonts w:ascii="Times New Roman" w:hAnsi="Times New Roman" w:cs="Times New Roman"/>
                <w:sz w:val="22"/>
                <w:szCs w:val="22"/>
                <w:lang w:val="fr-FR"/>
              </w:rPr>
              <w:t xml:space="preserve"> Montrez que le niveau des salaires ne dépend pas essentiellement du libre jeu des mécanismes du marché du travail</w:t>
            </w:r>
            <w:r w:rsidR="000741AF">
              <w:rPr>
                <w:rFonts w:ascii="Times New Roman" w:hAnsi="Times New Roman" w:cs="Times New Roman"/>
                <w:sz w:val="22"/>
                <w:szCs w:val="22"/>
                <w:lang w:val="fr-FR"/>
              </w:rPr>
              <w:t>.</w:t>
            </w:r>
            <w:r w:rsidR="0085315E">
              <w:rPr>
                <w:rFonts w:ascii="Times New Roman" w:hAnsi="Times New Roman" w:cs="Times New Roman"/>
                <w:sz w:val="22"/>
                <w:szCs w:val="22"/>
                <w:lang w:val="fr-FR"/>
              </w:rPr>
              <w:t xml:space="preserve"> (3 points)</w:t>
            </w:r>
          </w:p>
          <w:p w:rsidR="000741AF" w:rsidRPr="000741AF" w:rsidRDefault="000741AF">
            <w:pPr>
              <w:rPr>
                <w:rFonts w:ascii="Times New Roman" w:hAnsi="Times New Roman" w:cs="Times New Roman"/>
                <w:sz w:val="6"/>
                <w:szCs w:val="6"/>
                <w:lang w:val="fr-FR"/>
              </w:rPr>
            </w:pPr>
          </w:p>
        </w:tc>
      </w:tr>
    </w:tbl>
    <w:p w:rsidR="00E03E09" w:rsidRDefault="00E03E09">
      <w:pPr>
        <w:rPr>
          <w:rFonts w:ascii="Times New Roman" w:hAnsi="Times New Roman"/>
          <w:sz w:val="22"/>
          <w:szCs w:val="22"/>
          <w:lang w:val="fr-FR"/>
        </w:rPr>
      </w:pPr>
    </w:p>
    <w:p w:rsidR="000741AF" w:rsidRPr="009C711D" w:rsidRDefault="000741AF">
      <w:pPr>
        <w:rPr>
          <w:rFonts w:ascii="Times New Roman" w:hAnsi="Times New Roman"/>
          <w:sz w:val="22"/>
          <w:szCs w:val="22"/>
          <w:lang w:val="fr-FR"/>
        </w:rPr>
      </w:pPr>
    </w:p>
    <w:p w:rsidR="001A16C8"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E03E09">
        <w:rPr>
          <w:rFonts w:ascii="Times New Roman" w:hAnsi="Times New Roman"/>
          <w:b/>
          <w:color w:val="000000"/>
          <w:sz w:val="22"/>
          <w:szCs w:val="22"/>
          <w:lang w:val="fr-FR"/>
        </w:rPr>
        <w:t>DOCUMENT 1</w:t>
      </w:r>
    </w:p>
    <w:p w:rsidR="000741AF" w:rsidRPr="000741AF" w:rsidRDefault="000741AF" w:rsidP="000741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b/>
          <w:color w:val="000000"/>
          <w:sz w:val="20"/>
          <w:lang w:val="fr-FR"/>
        </w:rPr>
      </w:pPr>
    </w:p>
    <w:p w:rsidR="00E03E09" w:rsidRDefault="00E03E09" w:rsidP="00E03E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u w:val="single"/>
          <w:lang w:val="fr-FR"/>
        </w:rPr>
      </w:pPr>
      <w:r w:rsidRPr="00E03E09">
        <w:rPr>
          <w:rFonts w:ascii="Times New Roman" w:hAnsi="Times New Roman"/>
          <w:b/>
          <w:color w:val="000000"/>
          <w:sz w:val="22"/>
          <w:szCs w:val="22"/>
          <w:u w:val="single"/>
          <w:lang w:val="fr-FR"/>
        </w:rPr>
        <w:t>Indice du coût total du travail dans des pays de l’Union Européenne à 28 en 2014 (base 100 = UE à 28)</w:t>
      </w:r>
    </w:p>
    <w:p w:rsidR="000741AF" w:rsidRPr="000741AF" w:rsidRDefault="000741AF" w:rsidP="000741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New Roman" w:hAnsi="Times New Roman"/>
          <w:b/>
          <w:color w:val="000000"/>
          <w:sz w:val="12"/>
          <w:szCs w:val="12"/>
          <w:u w:val="single"/>
          <w:lang w:val="fr-FR"/>
        </w:rPr>
      </w:pPr>
    </w:p>
    <w:p w:rsidR="00E03E09" w:rsidRPr="00E03E09" w:rsidRDefault="00E03E09" w:rsidP="00E03E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New Roman" w:hAnsi="Times New Roman"/>
          <w:b/>
          <w:color w:val="000000"/>
          <w:sz w:val="8"/>
          <w:szCs w:val="8"/>
          <w:u w:val="single"/>
          <w:lang w:val="fr-FR"/>
        </w:rPr>
      </w:pPr>
    </w:p>
    <w:tbl>
      <w:tblPr>
        <w:tblStyle w:val="Grilledutableau"/>
        <w:tblW w:w="10173" w:type="dxa"/>
        <w:tblLayout w:type="fixed"/>
        <w:tblLook w:val="04A0" w:firstRow="1" w:lastRow="0" w:firstColumn="1" w:lastColumn="0" w:noHBand="0" w:noVBand="1"/>
      </w:tblPr>
      <w:tblGrid>
        <w:gridCol w:w="959"/>
        <w:gridCol w:w="952"/>
        <w:gridCol w:w="864"/>
        <w:gridCol w:w="791"/>
        <w:gridCol w:w="962"/>
        <w:gridCol w:w="864"/>
        <w:gridCol w:w="812"/>
        <w:gridCol w:w="708"/>
        <w:gridCol w:w="709"/>
        <w:gridCol w:w="851"/>
        <w:gridCol w:w="850"/>
        <w:gridCol w:w="851"/>
      </w:tblGrid>
      <w:tr w:rsidR="00E03E09" w:rsidRPr="00E03E09" w:rsidTr="00D37608">
        <w:tc>
          <w:tcPr>
            <w:tcW w:w="959" w:type="dxa"/>
          </w:tcPr>
          <w:p w:rsidR="00E03E09" w:rsidRP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lang w:val="fr-FR"/>
              </w:rPr>
            </w:pPr>
            <w:r w:rsidRPr="00E03E09">
              <w:rPr>
                <w:rFonts w:ascii="Times New Roman" w:hAnsi="Times New Roman"/>
                <w:b/>
                <w:color w:val="000000"/>
                <w:sz w:val="20"/>
                <w:lang w:val="fr-FR"/>
              </w:rPr>
              <w:t>Bulgarie</w:t>
            </w:r>
          </w:p>
        </w:tc>
        <w:tc>
          <w:tcPr>
            <w:tcW w:w="952" w:type="dxa"/>
          </w:tcPr>
          <w:p w:rsidR="00E03E09" w:rsidRP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lang w:val="fr-FR"/>
              </w:rPr>
            </w:pPr>
            <w:r w:rsidRPr="00E03E09">
              <w:rPr>
                <w:rFonts w:ascii="Times New Roman" w:hAnsi="Times New Roman"/>
                <w:b/>
                <w:color w:val="000000"/>
                <w:sz w:val="20"/>
                <w:lang w:val="fr-FR"/>
              </w:rPr>
              <w:t>Hongrie</w:t>
            </w:r>
          </w:p>
        </w:tc>
        <w:tc>
          <w:tcPr>
            <w:tcW w:w="864" w:type="dxa"/>
          </w:tcPr>
          <w:p w:rsidR="00E03E09" w:rsidRP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lang w:val="fr-FR"/>
              </w:rPr>
            </w:pPr>
            <w:r w:rsidRPr="00E03E09">
              <w:rPr>
                <w:rFonts w:ascii="Times New Roman" w:hAnsi="Times New Roman"/>
                <w:b/>
                <w:color w:val="000000"/>
                <w:sz w:val="20"/>
                <w:lang w:val="fr-FR"/>
              </w:rPr>
              <w:t>Croatie</w:t>
            </w:r>
          </w:p>
        </w:tc>
        <w:tc>
          <w:tcPr>
            <w:tcW w:w="791" w:type="dxa"/>
          </w:tcPr>
          <w:p w:rsidR="00E03E09" w:rsidRP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lang w:val="fr-FR"/>
              </w:rPr>
            </w:pPr>
            <w:proofErr w:type="spellStart"/>
            <w:r w:rsidRPr="00E03E09">
              <w:rPr>
                <w:rFonts w:ascii="Times New Roman" w:hAnsi="Times New Roman"/>
                <w:b/>
                <w:color w:val="000000"/>
                <w:sz w:val="20"/>
                <w:lang w:val="fr-FR"/>
              </w:rPr>
              <w:t>Slova-quie</w:t>
            </w:r>
            <w:proofErr w:type="spellEnd"/>
          </w:p>
        </w:tc>
        <w:tc>
          <w:tcPr>
            <w:tcW w:w="962" w:type="dxa"/>
          </w:tcPr>
          <w:p w:rsidR="00E03E09" w:rsidRP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lang w:val="fr-FR"/>
              </w:rPr>
            </w:pPr>
            <w:r w:rsidRPr="00E03E09">
              <w:rPr>
                <w:rFonts w:ascii="Times New Roman" w:hAnsi="Times New Roman"/>
                <w:b/>
                <w:color w:val="000000"/>
                <w:sz w:val="20"/>
                <w:lang w:val="fr-FR"/>
              </w:rPr>
              <w:t>Portugal</w:t>
            </w:r>
          </w:p>
        </w:tc>
        <w:tc>
          <w:tcPr>
            <w:tcW w:w="864" w:type="dxa"/>
          </w:tcPr>
          <w:p w:rsidR="00E03E09" w:rsidRP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lang w:val="fr-FR"/>
              </w:rPr>
            </w:pPr>
            <w:r w:rsidRPr="00E03E09">
              <w:rPr>
                <w:rFonts w:ascii="Times New Roman" w:hAnsi="Times New Roman"/>
                <w:b/>
                <w:color w:val="000000"/>
                <w:sz w:val="20"/>
                <w:lang w:val="fr-FR"/>
              </w:rPr>
              <w:t>Chypre</w:t>
            </w:r>
          </w:p>
        </w:tc>
        <w:tc>
          <w:tcPr>
            <w:tcW w:w="812" w:type="dxa"/>
          </w:tcPr>
          <w:p w:rsidR="00E03E09" w:rsidRP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lang w:val="fr-FR"/>
              </w:rPr>
            </w:pPr>
            <w:proofErr w:type="spellStart"/>
            <w:r w:rsidRPr="00E03E09">
              <w:rPr>
                <w:rFonts w:ascii="Times New Roman" w:hAnsi="Times New Roman"/>
                <w:b/>
                <w:color w:val="000000"/>
                <w:sz w:val="20"/>
                <w:lang w:val="fr-FR"/>
              </w:rPr>
              <w:t>Espa</w:t>
            </w:r>
            <w:proofErr w:type="spellEnd"/>
            <w:r w:rsidRPr="00E03E09">
              <w:rPr>
                <w:rFonts w:ascii="Times New Roman" w:hAnsi="Times New Roman"/>
                <w:b/>
                <w:color w:val="000000"/>
                <w:sz w:val="20"/>
                <w:lang w:val="fr-FR"/>
              </w:rPr>
              <w:t>-</w:t>
            </w:r>
          </w:p>
          <w:p w:rsidR="00E03E09" w:rsidRP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lang w:val="fr-FR"/>
              </w:rPr>
            </w:pPr>
            <w:proofErr w:type="spellStart"/>
            <w:r w:rsidRPr="00E03E09">
              <w:rPr>
                <w:rFonts w:ascii="Times New Roman" w:hAnsi="Times New Roman"/>
                <w:b/>
                <w:color w:val="000000"/>
                <w:sz w:val="20"/>
                <w:lang w:val="fr-FR"/>
              </w:rPr>
              <w:t>gne</w:t>
            </w:r>
            <w:proofErr w:type="spellEnd"/>
          </w:p>
        </w:tc>
        <w:tc>
          <w:tcPr>
            <w:tcW w:w="708" w:type="dxa"/>
          </w:tcPr>
          <w:p w:rsidR="00E03E09" w:rsidRP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lang w:val="fr-FR"/>
              </w:rPr>
            </w:pPr>
            <w:r w:rsidRPr="00E03E09">
              <w:rPr>
                <w:rFonts w:ascii="Times New Roman" w:hAnsi="Times New Roman"/>
                <w:b/>
                <w:color w:val="000000"/>
                <w:sz w:val="20"/>
                <w:lang w:val="fr-FR"/>
              </w:rPr>
              <w:t>UE à 28</w:t>
            </w:r>
          </w:p>
        </w:tc>
        <w:tc>
          <w:tcPr>
            <w:tcW w:w="709" w:type="dxa"/>
          </w:tcPr>
          <w:p w:rsidR="00E03E09" w:rsidRP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lang w:val="fr-FR"/>
              </w:rPr>
            </w:pPr>
            <w:r w:rsidRPr="00E03E09">
              <w:rPr>
                <w:rFonts w:ascii="Times New Roman" w:hAnsi="Times New Roman"/>
                <w:b/>
                <w:color w:val="000000"/>
                <w:sz w:val="20"/>
                <w:lang w:val="fr-FR"/>
              </w:rPr>
              <w:t>Italie</w:t>
            </w:r>
          </w:p>
        </w:tc>
        <w:tc>
          <w:tcPr>
            <w:tcW w:w="851" w:type="dxa"/>
          </w:tcPr>
          <w:p w:rsidR="00E03E09" w:rsidRP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lang w:val="fr-FR"/>
              </w:rPr>
            </w:pPr>
            <w:proofErr w:type="spellStart"/>
            <w:r w:rsidRPr="00E03E09">
              <w:rPr>
                <w:rFonts w:ascii="Times New Roman" w:hAnsi="Times New Roman"/>
                <w:b/>
                <w:color w:val="000000"/>
                <w:sz w:val="20"/>
                <w:lang w:val="fr-FR"/>
              </w:rPr>
              <w:t>Alle-magne</w:t>
            </w:r>
            <w:proofErr w:type="spellEnd"/>
          </w:p>
        </w:tc>
        <w:tc>
          <w:tcPr>
            <w:tcW w:w="850" w:type="dxa"/>
          </w:tcPr>
          <w:p w:rsidR="00E03E09" w:rsidRP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lang w:val="fr-FR"/>
              </w:rPr>
            </w:pPr>
            <w:r w:rsidRPr="00E03E09">
              <w:rPr>
                <w:rFonts w:ascii="Times New Roman" w:hAnsi="Times New Roman"/>
                <w:b/>
                <w:color w:val="000000"/>
                <w:sz w:val="20"/>
                <w:lang w:val="fr-FR"/>
              </w:rPr>
              <w:t>France</w:t>
            </w:r>
          </w:p>
        </w:tc>
        <w:tc>
          <w:tcPr>
            <w:tcW w:w="851" w:type="dxa"/>
          </w:tcPr>
          <w:p w:rsidR="00E03E09" w:rsidRP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0"/>
                <w:lang w:val="fr-FR"/>
              </w:rPr>
            </w:pPr>
            <w:proofErr w:type="spellStart"/>
            <w:r w:rsidRPr="00E03E09">
              <w:rPr>
                <w:rFonts w:ascii="Times New Roman" w:hAnsi="Times New Roman"/>
                <w:b/>
                <w:color w:val="000000"/>
                <w:sz w:val="20"/>
                <w:lang w:val="fr-FR"/>
              </w:rPr>
              <w:t>Dane-mark</w:t>
            </w:r>
            <w:proofErr w:type="spellEnd"/>
          </w:p>
        </w:tc>
      </w:tr>
      <w:tr w:rsidR="00E03E09" w:rsidTr="00D37608">
        <w:tc>
          <w:tcPr>
            <w:tcW w:w="959" w:type="dxa"/>
          </w:tcPr>
          <w:p w:rsid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16</w:t>
            </w:r>
          </w:p>
        </w:tc>
        <w:tc>
          <w:tcPr>
            <w:tcW w:w="952" w:type="dxa"/>
          </w:tcPr>
          <w:p w:rsidR="00E03E09" w:rsidRPr="000741AF"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0741AF">
              <w:rPr>
                <w:rFonts w:ascii="Times New Roman" w:hAnsi="Times New Roman"/>
                <w:b/>
                <w:color w:val="000000"/>
                <w:sz w:val="22"/>
                <w:szCs w:val="22"/>
                <w:lang w:val="fr-FR"/>
              </w:rPr>
              <w:t>32</w:t>
            </w:r>
          </w:p>
        </w:tc>
        <w:tc>
          <w:tcPr>
            <w:tcW w:w="864" w:type="dxa"/>
          </w:tcPr>
          <w:p w:rsid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38</w:t>
            </w:r>
          </w:p>
        </w:tc>
        <w:tc>
          <w:tcPr>
            <w:tcW w:w="791" w:type="dxa"/>
          </w:tcPr>
          <w:p w:rsid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41</w:t>
            </w:r>
          </w:p>
        </w:tc>
        <w:tc>
          <w:tcPr>
            <w:tcW w:w="962" w:type="dxa"/>
          </w:tcPr>
          <w:p w:rsid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51,5</w:t>
            </w:r>
          </w:p>
        </w:tc>
        <w:tc>
          <w:tcPr>
            <w:tcW w:w="864" w:type="dxa"/>
          </w:tcPr>
          <w:p w:rsid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64</w:t>
            </w:r>
          </w:p>
        </w:tc>
        <w:tc>
          <w:tcPr>
            <w:tcW w:w="812" w:type="dxa"/>
          </w:tcPr>
          <w:p w:rsid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86</w:t>
            </w:r>
          </w:p>
        </w:tc>
        <w:tc>
          <w:tcPr>
            <w:tcW w:w="708" w:type="dxa"/>
          </w:tcPr>
          <w:p w:rsid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100</w:t>
            </w:r>
          </w:p>
        </w:tc>
        <w:tc>
          <w:tcPr>
            <w:tcW w:w="709" w:type="dxa"/>
          </w:tcPr>
          <w:p w:rsid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112</w:t>
            </w:r>
          </w:p>
        </w:tc>
        <w:tc>
          <w:tcPr>
            <w:tcW w:w="851" w:type="dxa"/>
          </w:tcPr>
          <w:p w:rsidR="00E03E09" w:rsidRDefault="00E03E09"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130</w:t>
            </w:r>
          </w:p>
        </w:tc>
        <w:tc>
          <w:tcPr>
            <w:tcW w:w="850" w:type="dxa"/>
          </w:tcPr>
          <w:p w:rsidR="00E03E09" w:rsidRDefault="00ED6BE5"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144</w:t>
            </w:r>
          </w:p>
        </w:tc>
        <w:tc>
          <w:tcPr>
            <w:tcW w:w="851" w:type="dxa"/>
          </w:tcPr>
          <w:p w:rsidR="00E03E09" w:rsidRPr="000741AF" w:rsidRDefault="00ED6BE5" w:rsidP="00D376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0741AF">
              <w:rPr>
                <w:rFonts w:ascii="Times New Roman" w:hAnsi="Times New Roman"/>
                <w:b/>
                <w:color w:val="000000"/>
                <w:sz w:val="22"/>
                <w:szCs w:val="22"/>
                <w:lang w:val="fr-FR"/>
              </w:rPr>
              <w:t>171</w:t>
            </w:r>
          </w:p>
        </w:tc>
      </w:tr>
    </w:tbl>
    <w:p w:rsidR="00B80B45" w:rsidRPr="00ED6BE5" w:rsidRDefault="00ED6BE5" w:rsidP="00ED6B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18"/>
          <w:szCs w:val="18"/>
          <w:u w:val="single"/>
          <w:lang w:val="fr-FR"/>
        </w:rPr>
      </w:pPr>
      <w:r w:rsidRPr="00ED6BE5">
        <w:rPr>
          <w:rFonts w:ascii="Times New Roman" w:hAnsi="Times New Roman"/>
          <w:color w:val="000000"/>
          <w:sz w:val="18"/>
          <w:szCs w:val="18"/>
          <w:u w:val="single"/>
          <w:lang w:val="fr-FR"/>
        </w:rPr>
        <w:t>Source : Eurostat</w:t>
      </w:r>
    </w:p>
    <w:p w:rsidR="000741AF" w:rsidRDefault="000741AF" w:rsidP="00E03E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p>
    <w:p w:rsidR="000741AF" w:rsidRDefault="000741AF" w:rsidP="00E03E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p>
    <w:p w:rsidR="000741AF" w:rsidRDefault="000741AF" w:rsidP="00E03E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p>
    <w:p w:rsidR="00E03E09" w:rsidRDefault="00E03E09" w:rsidP="00E03E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Pr>
          <w:rFonts w:ascii="Times New Roman" w:hAnsi="Times New Roman"/>
          <w:b/>
          <w:color w:val="000000"/>
          <w:sz w:val="22"/>
          <w:szCs w:val="22"/>
          <w:lang w:val="fr-FR"/>
        </w:rPr>
        <w:t>DOCUMENT 2</w:t>
      </w:r>
      <w:r w:rsidR="0085315E">
        <w:rPr>
          <w:rFonts w:ascii="Times New Roman" w:hAnsi="Times New Roman"/>
          <w:b/>
          <w:color w:val="000000"/>
          <w:sz w:val="22"/>
          <w:szCs w:val="22"/>
          <w:lang w:val="fr-FR"/>
        </w:rPr>
        <w:t xml:space="preserve"> </w:t>
      </w:r>
    </w:p>
    <w:p w:rsidR="0085315E" w:rsidRDefault="0085315E" w:rsidP="00E03E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p>
    <w:p w:rsidR="00ED6BE5" w:rsidRPr="00ED6BE5" w:rsidRDefault="00ED6BE5" w:rsidP="00ED6B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b/>
          <w:color w:val="000000"/>
          <w:sz w:val="6"/>
          <w:szCs w:val="6"/>
          <w:lang w:val="fr-FR"/>
        </w:rPr>
      </w:pPr>
    </w:p>
    <w:p w:rsidR="00E03E09" w:rsidRPr="0085315E" w:rsidRDefault="00E03E09" w:rsidP="00ED6BE5">
      <w:pPr>
        <w:jc w:val="both"/>
        <w:rPr>
          <w:rFonts w:ascii="Times New Roman" w:hAnsi="Times New Roman" w:cs="Times New Roman"/>
          <w:b/>
          <w:sz w:val="22"/>
          <w:szCs w:val="22"/>
          <w:lang w:val="fr-FR" w:eastAsia="fr-FR"/>
        </w:rPr>
      </w:pPr>
      <w:r w:rsidRPr="0085315E">
        <w:rPr>
          <w:rFonts w:ascii="Times New Roman" w:hAnsi="Times New Roman" w:cs="Times New Roman"/>
          <w:sz w:val="22"/>
          <w:szCs w:val="22"/>
          <w:lang w:val="fr-FR"/>
        </w:rPr>
        <w:t xml:space="preserve">Le coût du travail ne représente qu'un déterminant relativement secondaire dans les choix stratégiques des entreprises. Les infrastructures de transport, le risque de change, le prix des assurances, les droits de douane et le coût d'importation des matières premières contribuent souvent à augmenter les coûts de production dans les pays où le travail n'est pas très cher. Et même si les salaires y sont très bas, personne n'ira jamais ouvrir d'usine en Sierra Leone ou en Haïti. Ce qui compte pour une entreprise, c'est ce qu'on appelle le </w:t>
      </w:r>
      <w:r w:rsidRPr="0085315E">
        <w:rPr>
          <w:rFonts w:ascii="Times New Roman" w:hAnsi="Times New Roman" w:cs="Times New Roman"/>
          <w:bCs/>
          <w:sz w:val="22"/>
          <w:szCs w:val="22"/>
          <w:lang w:val="fr-FR"/>
        </w:rPr>
        <w:t>coût unitaire, c'est-à-dire le coût du travail corrigé de la productivité du travail</w:t>
      </w:r>
      <w:r w:rsidRPr="0085315E">
        <w:rPr>
          <w:rFonts w:ascii="Times New Roman" w:hAnsi="Times New Roman" w:cs="Times New Roman"/>
          <w:sz w:val="22"/>
          <w:szCs w:val="22"/>
          <w:lang w:val="fr-FR"/>
        </w:rPr>
        <w:t>. Et là où les travailleurs sont instruits, motivés et bien entraînés, ce coût peut-être beaucoup plus bas que dans certains pays en développement. [...] Les seules ressources capables de créer des avantages comparatifs aujourd'hui résident dans la capacité des entreprises à promouvoir des stratégies fondées sur l'innovation, la conception, la qualité, la réputation de la marque, la proximité avec le client, etc.</w:t>
      </w:r>
    </w:p>
    <w:p w:rsidR="00E03E09" w:rsidRPr="0085315E" w:rsidRDefault="00E03E09" w:rsidP="00ED6BE5">
      <w:pPr>
        <w:autoSpaceDE w:val="0"/>
        <w:autoSpaceDN w:val="0"/>
        <w:adjustRightInd w:val="0"/>
        <w:jc w:val="center"/>
        <w:rPr>
          <w:rFonts w:ascii="Times New Roman" w:hAnsi="Times New Roman" w:cs="Times New Roman"/>
          <w:sz w:val="18"/>
          <w:szCs w:val="18"/>
          <w:u w:val="single"/>
          <w:lang w:val="fr-FR"/>
        </w:rPr>
      </w:pPr>
      <w:r w:rsidRPr="0085315E">
        <w:rPr>
          <w:rFonts w:ascii="Times New Roman" w:hAnsi="Times New Roman" w:cs="Times New Roman"/>
          <w:sz w:val="18"/>
          <w:szCs w:val="18"/>
          <w:u w:val="single"/>
          <w:lang w:val="fr-FR"/>
        </w:rPr>
        <w:t xml:space="preserve">S. Berger, « La mondialisation n'est pas une voie à sens unique », </w:t>
      </w:r>
      <w:r w:rsidRPr="0085315E">
        <w:rPr>
          <w:rFonts w:ascii="Times New Roman" w:hAnsi="Times New Roman" w:cs="Times New Roman"/>
          <w:i/>
          <w:sz w:val="18"/>
          <w:szCs w:val="18"/>
          <w:u w:val="single"/>
          <w:lang w:val="fr-FR"/>
        </w:rPr>
        <w:t>Alternatives économiques</w:t>
      </w:r>
      <w:r w:rsidRPr="0085315E">
        <w:rPr>
          <w:rFonts w:ascii="Times New Roman" w:hAnsi="Times New Roman" w:cs="Times New Roman"/>
          <w:sz w:val="18"/>
          <w:szCs w:val="18"/>
          <w:u w:val="single"/>
          <w:lang w:val="fr-FR"/>
        </w:rPr>
        <w:t>, n°244, février 2006</w:t>
      </w:r>
    </w:p>
    <w:p w:rsidR="00E03E09" w:rsidRPr="00E03E09" w:rsidRDefault="00E03E09" w:rsidP="00E03E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p>
    <w:p w:rsidR="00566E6C" w:rsidRPr="009C711D" w:rsidRDefault="00566E6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sectPr w:rsidR="00566E6C" w:rsidRPr="009C711D">
      <w:footerReference w:type="default" r:id="rId6"/>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456" w:rsidRDefault="00D57456" w:rsidP="009C711D">
      <w:r>
        <w:separator/>
      </w:r>
    </w:p>
  </w:endnote>
  <w:endnote w:type="continuationSeparator" w:id="0">
    <w:p w:rsidR="00D57456" w:rsidRDefault="00D57456"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456" w:rsidRDefault="00D57456" w:rsidP="009C711D">
      <w:r>
        <w:separator/>
      </w:r>
    </w:p>
  </w:footnote>
  <w:footnote w:type="continuationSeparator" w:id="0">
    <w:p w:rsidR="00D57456" w:rsidRDefault="00D57456"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7D7"/>
    <w:rsid w:val="00042E65"/>
    <w:rsid w:val="000741AF"/>
    <w:rsid w:val="00081244"/>
    <w:rsid w:val="000A1BF5"/>
    <w:rsid w:val="000B778A"/>
    <w:rsid w:val="001A16C8"/>
    <w:rsid w:val="001A6141"/>
    <w:rsid w:val="004054BB"/>
    <w:rsid w:val="00475391"/>
    <w:rsid w:val="00500C8B"/>
    <w:rsid w:val="00566E6C"/>
    <w:rsid w:val="005F742A"/>
    <w:rsid w:val="005F7504"/>
    <w:rsid w:val="006023D7"/>
    <w:rsid w:val="006F5AED"/>
    <w:rsid w:val="0085315E"/>
    <w:rsid w:val="009177AE"/>
    <w:rsid w:val="009C711D"/>
    <w:rsid w:val="00AC472F"/>
    <w:rsid w:val="00AE6E4C"/>
    <w:rsid w:val="00B80B45"/>
    <w:rsid w:val="00C45A1F"/>
    <w:rsid w:val="00D57456"/>
    <w:rsid w:val="00E03E09"/>
    <w:rsid w:val="00E167D7"/>
    <w:rsid w:val="00E94CFA"/>
    <w:rsid w:val="00ED6B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FFD7A52-FD83-4DD3-A995-DC1D3BAA3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Policepardfaut1">
    <w:name w:val="Police par défaut1"/>
  </w:style>
  <w:style w:type="paragraph" w:customStyle="1" w:styleId="Titre10">
    <w:name w:val="Titre1"/>
    <w:basedOn w:val="Normal"/>
    <w:next w:val="Corpsdetexte"/>
    <w:pPr>
      <w:keepNext/>
      <w:spacing w:before="240" w:after="120"/>
    </w:pPr>
    <w:rPr>
      <w:rFonts w:ascii="Arial" w:eastAsia="Arial Unicode MS" w:hAnsi="Arial" w:cs="Arial Unicode MS"/>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szCs w:val="24"/>
    </w:rPr>
  </w:style>
  <w:style w:type="paragraph" w:customStyle="1" w:styleId="Index">
    <w:name w:val="Index"/>
    <w:basedOn w:val="Normal"/>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382</Words>
  <Characters>2103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5</cp:revision>
  <cp:lastPrinted>1899-12-31T23:00:00Z</cp:lastPrinted>
  <dcterms:created xsi:type="dcterms:W3CDTF">2016-02-06T10:53:00Z</dcterms:created>
  <dcterms:modified xsi:type="dcterms:W3CDTF">2016-04-13T06:37:00Z</dcterms:modified>
</cp:coreProperties>
</file>