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ayout w:type="fixed"/>
        <w:tblLook w:val="0000" w:firstRow="0" w:lastRow="0" w:firstColumn="0" w:lastColumn="0" w:noHBand="0" w:noVBand="0"/>
      </w:tblPr>
      <w:tblGrid>
        <w:gridCol w:w="2518"/>
        <w:gridCol w:w="4678"/>
        <w:gridCol w:w="2612"/>
      </w:tblGrid>
      <w:tr w:rsidR="00A15E58">
        <w:tc>
          <w:tcPr>
            <w:tcW w:w="2518" w:type="dxa"/>
            <w:tcBorders>
              <w:top w:val="single" w:sz="4" w:space="0" w:color="000000"/>
              <w:left w:val="single" w:sz="4" w:space="0" w:color="000000"/>
              <w:bottom w:val="single" w:sz="4" w:space="0" w:color="000000"/>
            </w:tcBorders>
            <w:shd w:val="clear" w:color="auto" w:fill="auto"/>
          </w:tcPr>
          <w:p w:rsidR="00A15E58" w:rsidRDefault="00A15E58">
            <w:pPr>
              <w:rPr>
                <w:rFonts w:ascii="Times New Roman" w:hAnsi="Times New Roman" w:cs="Times New Roman"/>
                <w:b/>
                <w:sz w:val="22"/>
                <w:szCs w:val="22"/>
                <w:lang w:val="fr-FR"/>
              </w:rPr>
            </w:pPr>
            <w:r>
              <w:rPr>
                <w:rFonts w:ascii="Times New Roman" w:hAnsi="Times New Roman" w:cs="Times New Roman"/>
                <w:b/>
                <w:sz w:val="22"/>
                <w:szCs w:val="22"/>
                <w:lang w:val="fr-FR"/>
              </w:rPr>
              <w:t>Académie d'AMIENS Baccalauréat ES</w:t>
            </w:r>
          </w:p>
          <w:p w:rsidR="00A15E58" w:rsidRDefault="00A15E58">
            <w:pPr>
              <w:rPr>
                <w:rFonts w:ascii="Times New Roman" w:hAnsi="Times New Roman" w:cs="Times New Roman"/>
                <w:b/>
                <w:sz w:val="22"/>
                <w:szCs w:val="22"/>
                <w:lang w:val="fr-FR"/>
              </w:rPr>
            </w:pPr>
            <w:r>
              <w:rPr>
                <w:rFonts w:ascii="Times New Roman" w:hAnsi="Times New Roman" w:cs="Times New Roman"/>
                <w:b/>
                <w:sz w:val="22"/>
                <w:szCs w:val="22"/>
                <w:lang w:val="fr-FR"/>
              </w:rPr>
              <w:t>Session 2016</w:t>
            </w:r>
          </w:p>
        </w:tc>
        <w:tc>
          <w:tcPr>
            <w:tcW w:w="4678" w:type="dxa"/>
            <w:tcBorders>
              <w:top w:val="single" w:sz="4" w:space="0" w:color="000000"/>
              <w:left w:val="single" w:sz="4" w:space="0" w:color="000000"/>
              <w:bottom w:val="single" w:sz="4" w:space="0" w:color="000000"/>
            </w:tcBorders>
            <w:shd w:val="clear" w:color="auto" w:fill="auto"/>
          </w:tcPr>
          <w:p w:rsidR="00A15E58" w:rsidRDefault="00A15E58">
            <w:pPr>
              <w:jc w:val="center"/>
              <w:rPr>
                <w:rFonts w:ascii="Times New Roman" w:eastAsia="Times New Roman" w:hAnsi="Times New Roman" w:cs="Times New Roman"/>
                <w:b/>
                <w:sz w:val="22"/>
                <w:szCs w:val="22"/>
                <w:lang w:val="fr-FR"/>
              </w:rPr>
            </w:pPr>
            <w:r>
              <w:rPr>
                <w:rFonts w:ascii="Times New Roman" w:hAnsi="Times New Roman" w:cs="Times New Roman"/>
                <w:b/>
                <w:sz w:val="22"/>
                <w:szCs w:val="22"/>
                <w:lang w:val="fr-FR"/>
              </w:rPr>
              <w:t>Epreuve orale de Sciences économiques et sociales (Enseignement spécifique :</w:t>
            </w:r>
          </w:p>
          <w:p w:rsidR="00A15E58" w:rsidRDefault="00A15E58">
            <w:pPr>
              <w:jc w:val="center"/>
              <w:rPr>
                <w:rFonts w:ascii="Times New Roman" w:hAnsi="Times New Roman" w:cs="Times New Roman"/>
                <w:b/>
                <w:sz w:val="22"/>
                <w:szCs w:val="22"/>
              </w:rPr>
            </w:pPr>
            <w:r>
              <w:rPr>
                <w:rFonts w:ascii="Times New Roman" w:eastAsia="Times New Roman" w:hAnsi="Times New Roman" w:cs="Times New Roman"/>
                <w:b/>
                <w:sz w:val="22"/>
                <w:szCs w:val="22"/>
                <w:lang w:val="fr-FR"/>
              </w:rPr>
              <w:t xml:space="preserve"> </w:t>
            </w:r>
            <w:r>
              <w:rPr>
                <w:rFonts w:ascii="Times New Roman" w:hAnsi="Times New Roman" w:cs="Times New Roman"/>
                <w:b/>
                <w:sz w:val="22"/>
                <w:szCs w:val="22"/>
                <w:lang w:val="fr-FR"/>
              </w:rPr>
              <w:t>coefficient 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16c7-</w:t>
            </w:r>
            <w:r w:rsidR="00D922D2">
              <w:rPr>
                <w:rFonts w:ascii="Times New Roman" w:hAnsi="Times New Roman" w:cs="Times New Roman"/>
                <w:b/>
                <w:sz w:val="22"/>
                <w:szCs w:val="22"/>
              </w:rPr>
              <w:t>122.1</w:t>
            </w:r>
          </w:p>
        </w:tc>
      </w:tr>
      <w:tr w:rsidR="00A15E58">
        <w:tc>
          <w:tcPr>
            <w:tcW w:w="2518" w:type="dxa"/>
            <w:tcBorders>
              <w:top w:val="single" w:sz="4" w:space="0" w:color="000000"/>
              <w:left w:val="single" w:sz="4" w:space="0" w:color="000000"/>
              <w:bottom w:val="single" w:sz="4" w:space="0" w:color="000000"/>
            </w:tcBorders>
            <w:shd w:val="clear" w:color="auto" w:fill="auto"/>
          </w:tcPr>
          <w:p w:rsidR="00A15E58" w:rsidRDefault="00A15E58">
            <w:pPr>
              <w:rPr>
                <w:rFonts w:ascii="Times New Roman" w:hAnsi="Times New Roman" w:cs="Times New Roman"/>
                <w:b/>
                <w:sz w:val="22"/>
                <w:szCs w:val="22"/>
                <w:lang w:val="fr-FR"/>
              </w:rPr>
            </w:pPr>
            <w:r>
              <w:rPr>
                <w:rFonts w:ascii="Times New Roman" w:hAnsi="Times New Roman" w:cs="Times New Roman"/>
                <w:sz w:val="22"/>
                <w:szCs w:val="22"/>
                <w:lang w:val="fr-FR"/>
              </w:rPr>
              <w:t>Durée de la préparation : 30 minutes</w:t>
            </w:r>
          </w:p>
        </w:tc>
        <w:tc>
          <w:tcPr>
            <w:tcW w:w="4678" w:type="dxa"/>
            <w:tcBorders>
              <w:top w:val="single" w:sz="4" w:space="0" w:color="000000"/>
              <w:left w:val="single" w:sz="4" w:space="0" w:color="000000"/>
              <w:bottom w:val="single" w:sz="4" w:space="0" w:color="000000"/>
            </w:tcBorders>
            <w:shd w:val="clear" w:color="auto" w:fill="auto"/>
          </w:tcPr>
          <w:p w:rsidR="00A15E58" w:rsidRDefault="00A15E58">
            <w:pPr>
              <w:jc w:val="center"/>
              <w:rPr>
                <w:rFonts w:ascii="Times New Roman" w:hAnsi="Times New Roman" w:cs="Times New Roman"/>
                <w:b/>
                <w:sz w:val="22"/>
                <w:szCs w:val="22"/>
                <w:lang w:val="fr-FR"/>
              </w:rPr>
            </w:pPr>
            <w:r>
              <w:rPr>
                <w:rFonts w:ascii="Times New Roman" w:hAnsi="Times New Roman" w:cs="Times New Roman"/>
                <w:b/>
                <w:sz w:val="22"/>
                <w:szCs w:val="22"/>
                <w:lang w:val="fr-FR"/>
              </w:rPr>
              <w:t>Le candidat s’appuiera sur les 2 documents pour répondre à la question principale.</w:t>
            </w:r>
          </w:p>
          <w:p w:rsidR="00A15E58" w:rsidRPr="00D922D2" w:rsidRDefault="00A15E58">
            <w:pPr>
              <w:jc w:val="center"/>
              <w:rPr>
                <w:rFonts w:ascii="Times New Roman" w:hAnsi="Times New Roman" w:cs="Times New Roman"/>
                <w:sz w:val="22"/>
                <w:szCs w:val="22"/>
                <w:lang w:val="fr-FR"/>
              </w:rPr>
            </w:pPr>
            <w:r>
              <w:rPr>
                <w:rFonts w:ascii="Times New Roman" w:hAnsi="Times New Roman" w:cs="Times New Roman"/>
                <w:b/>
                <w:sz w:val="22"/>
                <w:szCs w:val="22"/>
                <w:lang w:val="fr-FR"/>
              </w:rPr>
              <w:t>Les question</w:t>
            </w:r>
            <w:r w:rsidR="00AA409F">
              <w:rPr>
                <w:rFonts w:ascii="Times New Roman" w:hAnsi="Times New Roman" w:cs="Times New Roman"/>
                <w:b/>
                <w:sz w:val="22"/>
                <w:szCs w:val="22"/>
                <w:lang w:val="fr-FR"/>
              </w:rPr>
              <w:t>s complémentaires 2 et 3 porte</w:t>
            </w:r>
            <w:r>
              <w:rPr>
                <w:rFonts w:ascii="Times New Roman" w:hAnsi="Times New Roman" w:cs="Times New Roman"/>
                <w:b/>
                <w:sz w:val="22"/>
                <w:szCs w:val="22"/>
                <w:lang w:val="fr-FR"/>
              </w:rPr>
              <w:t>nt sur d’autres thèmes du programme</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b/>
                <w:sz w:val="22"/>
                <w:szCs w:val="22"/>
                <w:lang w:val="fr-FR"/>
              </w:rPr>
            </w:pPr>
            <w:proofErr w:type="spellStart"/>
            <w:r>
              <w:rPr>
                <w:rFonts w:ascii="Times New Roman" w:hAnsi="Times New Roman" w:cs="Times New Roman"/>
                <w:sz w:val="22"/>
                <w:szCs w:val="22"/>
              </w:rPr>
              <w:t>Durée</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l'interrogation</w:t>
            </w:r>
            <w:proofErr w:type="spellEnd"/>
            <w:r>
              <w:rPr>
                <w:rFonts w:ascii="Times New Roman" w:hAnsi="Times New Roman" w:cs="Times New Roman"/>
                <w:sz w:val="22"/>
                <w:szCs w:val="22"/>
              </w:rPr>
              <w:t xml:space="preserve"> : 20 minutes</w:t>
            </w:r>
          </w:p>
        </w:tc>
      </w:tr>
      <w:tr w:rsidR="00A15E58" w:rsidRPr="00070A0D">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b/>
                <w:sz w:val="22"/>
                <w:szCs w:val="22"/>
                <w:lang w:val="fr-FR"/>
              </w:rPr>
            </w:pPr>
            <w:r>
              <w:rPr>
                <w:rFonts w:ascii="Times New Roman" w:hAnsi="Times New Roman" w:cs="Times New Roman"/>
                <w:b/>
                <w:sz w:val="22"/>
                <w:szCs w:val="22"/>
                <w:lang w:val="fr-FR"/>
              </w:rPr>
              <w:t>Thè</w:t>
            </w:r>
            <w:r w:rsidR="00D922D2">
              <w:rPr>
                <w:rFonts w:ascii="Times New Roman" w:hAnsi="Times New Roman" w:cs="Times New Roman"/>
                <w:b/>
                <w:sz w:val="22"/>
                <w:szCs w:val="22"/>
                <w:lang w:val="fr-FR"/>
              </w:rPr>
              <w:t>me de la question principale : Q</w:t>
            </w:r>
            <w:r>
              <w:rPr>
                <w:rFonts w:ascii="Times New Roman" w:hAnsi="Times New Roman" w:cs="Times New Roman"/>
                <w:b/>
                <w:sz w:val="22"/>
                <w:szCs w:val="22"/>
                <w:lang w:val="fr-FR"/>
              </w:rPr>
              <w:t>uelle est la place de l'Union européenne dans l'économie globale ?</w:t>
            </w:r>
          </w:p>
        </w:tc>
      </w:tr>
      <w:tr w:rsidR="00A15E58" w:rsidRPr="00070A0D">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b/>
                <w:sz w:val="22"/>
                <w:szCs w:val="22"/>
                <w:lang w:val="fr-FR"/>
              </w:rPr>
            </w:pPr>
            <w:r>
              <w:rPr>
                <w:rFonts w:ascii="Times New Roman" w:hAnsi="Times New Roman" w:cs="Times New Roman"/>
                <w:b/>
                <w:sz w:val="22"/>
                <w:szCs w:val="22"/>
                <w:lang w:val="fr-FR"/>
              </w:rPr>
              <w:t>Questio</w:t>
            </w:r>
            <w:r w:rsidR="00D922D2">
              <w:rPr>
                <w:rFonts w:ascii="Times New Roman" w:hAnsi="Times New Roman" w:cs="Times New Roman"/>
                <w:b/>
                <w:sz w:val="22"/>
                <w:szCs w:val="22"/>
                <w:lang w:val="fr-FR"/>
              </w:rPr>
              <w:t>n principale (sur 10 points) : E</w:t>
            </w:r>
            <w:r>
              <w:rPr>
                <w:rFonts w:ascii="Times New Roman" w:hAnsi="Times New Roman" w:cs="Times New Roman"/>
                <w:b/>
                <w:sz w:val="22"/>
                <w:szCs w:val="22"/>
                <w:lang w:val="fr-FR"/>
              </w:rPr>
              <w:t xml:space="preserve">n quoi </w:t>
            </w:r>
            <w:r w:rsidR="00070A0D">
              <w:rPr>
                <w:rFonts w:ascii="Times New Roman" w:hAnsi="Times New Roman" w:cs="Times New Roman"/>
                <w:b/>
                <w:bCs/>
                <w:sz w:val="22"/>
                <w:szCs w:val="22"/>
                <w:lang w:val="fr-FR"/>
              </w:rPr>
              <w:t>l'U</w:t>
            </w:r>
            <w:r w:rsidRPr="00D922D2">
              <w:rPr>
                <w:rFonts w:ascii="Times New Roman" w:hAnsi="Times New Roman" w:cs="Times New Roman"/>
                <w:b/>
                <w:bCs/>
                <w:sz w:val="22"/>
                <w:szCs w:val="22"/>
                <w:lang w:val="fr-FR"/>
              </w:rPr>
              <w:t>nion économique et monétaire renforce-t-elle les interdépendances entre les politiques conjoncturelles des États membres ?</w:t>
            </w:r>
          </w:p>
        </w:tc>
      </w:tr>
      <w:tr w:rsidR="00A15E58">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sz w:val="22"/>
                <w:szCs w:val="22"/>
                <w:lang w:val="fr-FR"/>
              </w:rPr>
            </w:pPr>
            <w:r>
              <w:rPr>
                <w:rFonts w:ascii="Times New Roman" w:hAnsi="Times New Roman" w:cs="Times New Roman"/>
                <w:b/>
                <w:sz w:val="22"/>
                <w:szCs w:val="22"/>
                <w:lang w:val="fr-FR"/>
              </w:rPr>
              <w:t>Questions complémentaires (sur 10 points) :</w:t>
            </w:r>
          </w:p>
        </w:tc>
      </w:tr>
      <w:tr w:rsidR="00A15E58">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sz w:val="22"/>
                <w:szCs w:val="22"/>
                <w:lang w:val="fr-FR"/>
              </w:rPr>
            </w:pPr>
            <w:r>
              <w:rPr>
                <w:rFonts w:ascii="Times New Roman" w:hAnsi="Times New Roman" w:cs="Times New Roman"/>
                <w:sz w:val="22"/>
                <w:szCs w:val="22"/>
                <w:lang w:val="fr-FR"/>
              </w:rPr>
              <w:t xml:space="preserve">1) A l'aide d'un calcul approprié, chiffrez l'évolution de la part des exportations intracommunautaires dans le commerce total des pays membres entre 1958 et 2010 (document 1). </w:t>
            </w:r>
            <w:r>
              <w:rPr>
                <w:rFonts w:ascii="Times New Roman" w:hAnsi="Times New Roman" w:cs="Times New Roman"/>
                <w:b/>
                <w:i/>
                <w:sz w:val="22"/>
                <w:szCs w:val="22"/>
                <w:lang w:val="fr-FR"/>
              </w:rPr>
              <w:t>(4 points)</w:t>
            </w:r>
          </w:p>
        </w:tc>
      </w:tr>
      <w:tr w:rsidR="00A15E58">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pPr>
              <w:rPr>
                <w:rFonts w:ascii="Times New Roman" w:hAnsi="Times New Roman" w:cs="Times New Roman"/>
                <w:sz w:val="22"/>
                <w:szCs w:val="22"/>
                <w:lang w:val="fr-FR"/>
              </w:rPr>
            </w:pPr>
            <w:r>
              <w:rPr>
                <w:rFonts w:ascii="Times New Roman" w:hAnsi="Times New Roman" w:cs="Times New Roman"/>
                <w:sz w:val="22"/>
                <w:szCs w:val="22"/>
                <w:lang w:val="fr-FR"/>
              </w:rPr>
              <w:t xml:space="preserve">2) Distinguez la mobilité observée et la fluidité sociale. </w:t>
            </w:r>
            <w:r>
              <w:rPr>
                <w:rFonts w:ascii="Times New Roman" w:hAnsi="Times New Roman" w:cs="Times New Roman"/>
                <w:b/>
                <w:i/>
                <w:sz w:val="22"/>
                <w:szCs w:val="22"/>
                <w:lang w:val="fr-FR"/>
              </w:rPr>
              <w:t>(3 points)</w:t>
            </w:r>
          </w:p>
        </w:tc>
      </w:tr>
      <w:tr w:rsidR="00A15E58">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Pr>
          <w:p w:rsidR="00A15E58" w:rsidRDefault="00A15E58">
            <w:r>
              <w:rPr>
                <w:rFonts w:ascii="Times New Roman" w:hAnsi="Times New Roman" w:cs="Times New Roman"/>
                <w:sz w:val="22"/>
                <w:szCs w:val="22"/>
                <w:lang w:val="fr-FR"/>
              </w:rPr>
              <w:t xml:space="preserve">3) Montrez que des inégalités de revenus peuvent entraîner des inégalités de patrimoine. </w:t>
            </w:r>
            <w:r>
              <w:rPr>
                <w:rFonts w:ascii="Times New Roman" w:hAnsi="Times New Roman" w:cs="Times New Roman"/>
                <w:b/>
                <w:i/>
                <w:sz w:val="22"/>
                <w:szCs w:val="22"/>
                <w:lang w:val="fr-FR"/>
              </w:rPr>
              <w:t>(3 points)</w:t>
            </w:r>
          </w:p>
        </w:tc>
      </w:tr>
    </w:tbl>
    <w:p w:rsidR="00A15E58" w:rsidRDefault="00A15E58"/>
    <w:p w:rsidR="00A15E58" w:rsidRPr="00070A0D"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070A0D">
        <w:rPr>
          <w:rFonts w:ascii="Times New Roman" w:hAnsi="Times New Roman" w:cs="Times New Roman"/>
          <w:b/>
          <w:color w:val="000000"/>
          <w:sz w:val="22"/>
          <w:szCs w:val="22"/>
          <w:lang w:val="fr-FR"/>
        </w:rPr>
        <w:t>DOCUMENT 1</w:t>
      </w:r>
    </w:p>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r>
        <w:rPr>
          <w:rFonts w:ascii="Times New Roman" w:hAnsi="Times New Roman" w:cs="Times New Roman"/>
          <w:b/>
          <w:color w:val="000000"/>
          <w:sz w:val="22"/>
          <w:szCs w:val="22"/>
          <w:lang w:val="fr-FR"/>
        </w:rPr>
        <w:t>Part du commerce intracommunautaire de marchandises dans le commerce total des pays membres</w:t>
      </w:r>
    </w:p>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A15E58" w:rsidRDefault="00070A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eastAsia="Times New Roman" w:hAnsi="Times New Roman" w:cs="Times New Roman"/>
          <w:color w:val="000000"/>
          <w:sz w:val="22"/>
          <w:szCs w:val="22"/>
          <w:lang w:val="fr-FR"/>
        </w:rPr>
      </w:pPr>
      <w:r>
        <w:rPr>
          <w:rFonts w:ascii="Times New Roman" w:hAnsi="Times New Roman" w:cs="Times New Roman"/>
          <w:noProof/>
          <w:color w:val="000000"/>
          <w:sz w:val="22"/>
          <w:szCs w:val="22"/>
          <w:lang w:val="fr-FR" w:eastAsia="fr-F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408.15pt;height:205.25pt;visibility:visible" filled="t">
            <v:imagedata r:id="rId7" o:title="" gain="1.25" blacklevel="-5243f" grayscale="t"/>
          </v:shape>
        </w:pict>
      </w:r>
    </w:p>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r>
        <w:rPr>
          <w:rFonts w:ascii="Times New Roman" w:eastAsia="Times New Roman" w:hAnsi="Times New Roman" w:cs="Times New Roman"/>
          <w:color w:val="000000"/>
          <w:sz w:val="22"/>
          <w:szCs w:val="22"/>
          <w:lang w:val="fr-FR"/>
        </w:rPr>
        <w:t xml:space="preserve"> </w:t>
      </w:r>
      <w:r>
        <w:rPr>
          <w:rFonts w:ascii="Times New Roman" w:hAnsi="Times New Roman" w:cs="Times New Roman"/>
          <w:color w:val="000000"/>
          <w:sz w:val="20"/>
          <w:lang w:val="fr-FR"/>
        </w:rPr>
        <w:t>Source :</w:t>
      </w:r>
      <w:r>
        <w:rPr>
          <w:rFonts w:ascii="Times New Roman" w:hAnsi="Times New Roman" w:cs="Times New Roman"/>
          <w:color w:val="000000"/>
          <w:sz w:val="22"/>
          <w:szCs w:val="22"/>
          <w:lang w:val="fr-FR"/>
        </w:rPr>
        <w:t xml:space="preserve"> </w:t>
      </w:r>
      <w:r>
        <w:rPr>
          <w:rFonts w:ascii="Times New Roman" w:hAnsi="Times New Roman" w:cs="Times New Roman"/>
          <w:color w:val="000000"/>
          <w:sz w:val="20"/>
          <w:lang w:val="fr-FR"/>
        </w:rPr>
        <w:t xml:space="preserve">Marie-Annick BARTHE, </w:t>
      </w:r>
      <w:r>
        <w:rPr>
          <w:rFonts w:ascii="Times New Roman" w:hAnsi="Times New Roman" w:cs="Times New Roman"/>
          <w:i/>
          <w:color w:val="000000"/>
          <w:sz w:val="20"/>
          <w:lang w:val="fr-FR"/>
        </w:rPr>
        <w:t>Économie de l’Union européenne</w:t>
      </w:r>
      <w:r>
        <w:rPr>
          <w:rFonts w:ascii="Times New Roman" w:hAnsi="Times New Roman" w:cs="Times New Roman"/>
          <w:color w:val="000000"/>
          <w:sz w:val="20"/>
          <w:lang w:val="fr-FR"/>
        </w:rPr>
        <w:t xml:space="preserve">, </w:t>
      </w:r>
      <w:proofErr w:type="spellStart"/>
      <w:r>
        <w:rPr>
          <w:rFonts w:ascii="Times New Roman" w:hAnsi="Times New Roman" w:cs="Times New Roman"/>
          <w:color w:val="000000"/>
          <w:sz w:val="20"/>
          <w:lang w:val="fr-FR"/>
        </w:rPr>
        <w:t>Economica</w:t>
      </w:r>
      <w:proofErr w:type="spellEnd"/>
      <w:r>
        <w:rPr>
          <w:rFonts w:ascii="Times New Roman" w:hAnsi="Times New Roman" w:cs="Times New Roman"/>
          <w:color w:val="000000"/>
          <w:sz w:val="20"/>
          <w:lang w:val="fr-FR"/>
        </w:rPr>
        <w:t>, 2011.</w:t>
      </w:r>
    </w:p>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A15E58" w:rsidRPr="00070A0D"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bookmarkStart w:id="0" w:name="_GoBack"/>
      <w:r w:rsidRPr="00070A0D">
        <w:rPr>
          <w:rFonts w:ascii="Times New Roman" w:hAnsi="Times New Roman" w:cs="Times New Roman"/>
          <w:b/>
          <w:color w:val="000000"/>
          <w:sz w:val="22"/>
          <w:szCs w:val="22"/>
          <w:lang w:val="fr-FR"/>
        </w:rPr>
        <w:t>DOCUMENT 2</w:t>
      </w:r>
    </w:p>
    <w:bookmarkEnd w:id="0"/>
    <w:p w:rsidR="00A15E58" w:rsidRDefault="00A15E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A15E58" w:rsidRPr="00D922D2" w:rsidRDefault="00A15E58">
      <w:pPr>
        <w:pStyle w:val="Corpsdetex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00" w:lineRule="atLeast"/>
        <w:jc w:val="both"/>
        <w:rPr>
          <w:rFonts w:ascii="Times New Roman" w:hAnsi="Times New Roman" w:cs="Times New Roman"/>
          <w:sz w:val="22"/>
          <w:szCs w:val="22"/>
          <w:lang w:val="fr-FR"/>
        </w:rPr>
      </w:pPr>
      <w:r>
        <w:rPr>
          <w:rFonts w:ascii="Times New Roman" w:hAnsi="Times New Roman" w:cs="Arial"/>
          <w:color w:val="000000"/>
          <w:sz w:val="22"/>
          <w:szCs w:val="22"/>
          <w:lang w:val="fr-FR"/>
        </w:rPr>
        <w:t>La Banque centrale européenne (BCE) a reçu pour mission d'assurer, en toute indépendance des pouvoirs politiques, la stabilité des prix dans la zone euro.</w:t>
      </w:r>
    </w:p>
    <w:p w:rsidR="00A15E58" w:rsidRPr="00D922D2" w:rsidRDefault="00A15E58">
      <w:pPr>
        <w:pStyle w:val="Corpsdetexte"/>
        <w:spacing w:after="0"/>
        <w:jc w:val="both"/>
        <w:rPr>
          <w:rFonts w:ascii="Times New Roman" w:hAnsi="Times New Roman" w:cs="Times New Roman"/>
          <w:sz w:val="22"/>
          <w:szCs w:val="22"/>
          <w:lang w:val="fr-FR"/>
        </w:rPr>
      </w:pPr>
      <w:r w:rsidRPr="00D922D2">
        <w:rPr>
          <w:rFonts w:ascii="Times New Roman" w:hAnsi="Times New Roman" w:cs="Times New Roman"/>
          <w:sz w:val="22"/>
          <w:szCs w:val="22"/>
          <w:lang w:val="fr-FR"/>
        </w:rPr>
        <w:t>Le Pacte de stabilité et de croissance s'inscrit dans le cadre général de la coordination des politiques économiques prévue par les traités depuis la création de l'euro. Il répond aux dispositions stipulant que les États membres « évitent les déficits excessifs ». Le PSC entend imposer aux participants à la zone euro une culture de stabilité des finances publiques. Il s'agit d'empêcher que la situation budgétaire d'un État entraîne une fragilisation de l'ensemble de la zone monétaire en diffusant, à travers des effets de débordement, des pressions inflationnistes, des tensions sur les taux d'intérêt et une perte de la valeur externe de l'euro. En effet, un déficit public et l'accroissement de la dette d'un État membre peuvent entraîner, pour l'ensemble de la zone euro, des pressions sur les prix (par une augmentation de la demande de biens et services) et sur les taux d'intérêt (par un surcroît de demande de financement).</w:t>
      </w:r>
    </w:p>
    <w:p w:rsidR="00A15E58" w:rsidRPr="00D922D2" w:rsidRDefault="00A15E58">
      <w:pPr>
        <w:pStyle w:val="Corpsdetexte"/>
        <w:spacing w:after="0"/>
        <w:jc w:val="both"/>
        <w:rPr>
          <w:rFonts w:ascii="Times New Roman" w:hAnsi="Times New Roman" w:cs="Times New Roman"/>
          <w:sz w:val="22"/>
          <w:szCs w:val="22"/>
          <w:lang w:val="fr-FR"/>
        </w:rPr>
      </w:pPr>
      <w:r w:rsidRPr="00D922D2">
        <w:rPr>
          <w:rFonts w:ascii="Times New Roman" w:hAnsi="Times New Roman" w:cs="Times New Roman"/>
          <w:sz w:val="22"/>
          <w:szCs w:val="22"/>
          <w:lang w:val="fr-FR"/>
        </w:rPr>
        <w:t>De fait, le PSC vient largement en appui de la politique de stabilité des prix pilotée par la BCE.</w:t>
      </w:r>
    </w:p>
    <w:p w:rsidR="00A15E58" w:rsidRPr="00D922D2" w:rsidRDefault="00A15E58">
      <w:pPr>
        <w:pStyle w:val="Corpsdetexte"/>
        <w:spacing w:after="0"/>
        <w:jc w:val="both"/>
        <w:rPr>
          <w:rFonts w:ascii="Times New Roman" w:hAnsi="Times New Roman" w:cs="Times New Roman"/>
          <w:sz w:val="20"/>
          <w:lang w:val="fr-FR"/>
        </w:rPr>
      </w:pPr>
      <w:r w:rsidRPr="00D922D2">
        <w:rPr>
          <w:rFonts w:ascii="Times New Roman" w:hAnsi="Times New Roman" w:cs="Times New Roman"/>
          <w:sz w:val="22"/>
          <w:szCs w:val="22"/>
          <w:lang w:val="fr-FR"/>
        </w:rPr>
        <w:t> </w:t>
      </w:r>
    </w:p>
    <w:p w:rsidR="00A15E58" w:rsidRPr="00D922D2" w:rsidRDefault="00A15E58">
      <w:pPr>
        <w:pStyle w:val="Corpsdetexte"/>
        <w:spacing w:after="0"/>
        <w:jc w:val="both"/>
        <w:rPr>
          <w:lang w:val="fr-FR"/>
        </w:rPr>
      </w:pPr>
      <w:r w:rsidRPr="00D922D2">
        <w:rPr>
          <w:rFonts w:ascii="Times New Roman" w:hAnsi="Times New Roman" w:cs="Times New Roman"/>
          <w:sz w:val="20"/>
          <w:lang w:val="fr-FR"/>
        </w:rPr>
        <w:t xml:space="preserve">Source : « L'euro et le PSC dans la tourmente », M. DEVOLUY, Cahiers français n°359, novembre-décembre 2010. </w:t>
      </w:r>
    </w:p>
    <w:sectPr w:rsidR="00A15E58" w:rsidRPr="00D922D2" w:rsidSect="000C38DA">
      <w:footerReference w:type="default" r:id="rId8"/>
      <w:footerReference w:type="first" r:id="rId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FF" w:rsidRDefault="00B403FF">
      <w:r>
        <w:separator/>
      </w:r>
    </w:p>
  </w:endnote>
  <w:endnote w:type="continuationSeparator" w:id="0">
    <w:p w:rsidR="00B403FF" w:rsidRDefault="00B4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E58" w:rsidRDefault="00A15E58">
    <w:pPr>
      <w:pStyle w:val="Pieddepage"/>
      <w:jc w:val="center"/>
      <w:rPr>
        <w:sz w:val="20"/>
        <w:lang w:val="fr-FR"/>
      </w:rPr>
    </w:pPr>
    <w:r>
      <w:rPr>
        <w:rFonts w:ascii="Arial" w:hAnsi="Arial" w:cs="Arial"/>
        <w:sz w:val="20"/>
        <w:lang w:val="fr-FR"/>
      </w:rPr>
      <w:t>N'écrivez pas sur ce sujet, que vous devrez rendre en fin d'interrogation</w:t>
    </w:r>
  </w:p>
  <w:p w:rsidR="00A15E58" w:rsidRDefault="00A15E58">
    <w:pPr>
      <w:pStyle w:val="Pieddepage"/>
      <w:rPr>
        <w:sz w:val="20"/>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E58" w:rsidRDefault="00A15E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FF" w:rsidRDefault="00B403FF">
      <w:r>
        <w:separator/>
      </w:r>
    </w:p>
  </w:footnote>
  <w:footnote w:type="continuationSeparator" w:id="0">
    <w:p w:rsidR="00B403FF" w:rsidRDefault="00B40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AB6"/>
    <w:rsid w:val="00070A0D"/>
    <w:rsid w:val="0008714F"/>
    <w:rsid w:val="000C38DA"/>
    <w:rsid w:val="007A567A"/>
    <w:rsid w:val="00A15E58"/>
    <w:rsid w:val="00AA409F"/>
    <w:rsid w:val="00B403FF"/>
    <w:rsid w:val="00D922D2"/>
    <w:rsid w:val="00DC1CBF"/>
    <w:rsid w:val="00EA3AB6"/>
    <w:rsid w:val="00F51B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874B4C80-BA88-4AB2-A9F9-5A1D9C7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8DA"/>
    <w:pPr>
      <w:widowControl w:val="0"/>
      <w:suppressAutoHyphens/>
    </w:pPr>
    <w:rPr>
      <w:rFonts w:ascii="Helvetica" w:eastAsia="Helvetica" w:hAnsi="Helvetica" w:cs="Helvetica"/>
      <w:sz w:val="24"/>
      <w:lang w:val="en-US" w:eastAsia="zh-CN" w:bidi="hi-IN"/>
    </w:rPr>
  </w:style>
  <w:style w:type="paragraph" w:styleId="Titre1">
    <w:name w:val="heading 1"/>
    <w:basedOn w:val="Normal"/>
    <w:next w:val="Normal"/>
    <w:qFormat/>
    <w:rsid w:val="000C38DA"/>
    <w:pPr>
      <w:keepNext/>
      <w:widowControl/>
      <w:tabs>
        <w:tab w:val="num" w:pos="0"/>
      </w:tabs>
      <w:suppressAutoHyphens w:val="0"/>
      <w:ind w:left="432" w:hanging="432"/>
      <w:outlineLvl w:val="0"/>
    </w:pPr>
    <w:rPr>
      <w:rFonts w:ascii="Times New Roman" w:eastAsia="Times New Roman" w:hAnsi="Times New Roman" w:cs="Times New Roman"/>
      <w:b/>
      <w:sz w:val="22"/>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false">
    <w:name w:val="WW8Num1zfalse"/>
    <w:rsid w:val="000C38DA"/>
  </w:style>
  <w:style w:type="character" w:customStyle="1" w:styleId="WW8Num1ztrue">
    <w:name w:val="WW8Num1ztrue"/>
    <w:rsid w:val="000C38DA"/>
  </w:style>
  <w:style w:type="character" w:customStyle="1" w:styleId="WW8Num1ztrue0">
    <w:name w:val="WW8Num1ztrue"/>
    <w:rsid w:val="000C38DA"/>
  </w:style>
  <w:style w:type="character" w:customStyle="1" w:styleId="WW8Num1ztrue1">
    <w:name w:val="WW8Num1ztrue"/>
    <w:rsid w:val="000C38DA"/>
  </w:style>
  <w:style w:type="character" w:customStyle="1" w:styleId="WW8Num1ztrue2">
    <w:name w:val="WW8Num1ztrue"/>
    <w:rsid w:val="000C38DA"/>
  </w:style>
  <w:style w:type="character" w:customStyle="1" w:styleId="WW8Num1ztrue3">
    <w:name w:val="WW8Num1ztrue"/>
    <w:rsid w:val="000C38DA"/>
  </w:style>
  <w:style w:type="character" w:customStyle="1" w:styleId="WW8Num1ztrue4">
    <w:name w:val="WW8Num1ztrue"/>
    <w:rsid w:val="000C38DA"/>
  </w:style>
  <w:style w:type="character" w:customStyle="1" w:styleId="WW8Num1ztrue5">
    <w:name w:val="WW8Num1ztrue"/>
    <w:rsid w:val="000C38DA"/>
  </w:style>
  <w:style w:type="character" w:customStyle="1" w:styleId="WW8Num1ztrue6">
    <w:name w:val="WW8Num1ztrue"/>
    <w:rsid w:val="000C38DA"/>
  </w:style>
  <w:style w:type="character" w:customStyle="1" w:styleId="Policepardfaut3">
    <w:name w:val="Police par défaut3"/>
    <w:rsid w:val="000C38DA"/>
  </w:style>
  <w:style w:type="character" w:customStyle="1" w:styleId="WW-WW8Num1ztrue">
    <w:name w:val="WW-WW8Num1ztrue"/>
    <w:rsid w:val="000C38DA"/>
  </w:style>
  <w:style w:type="character" w:customStyle="1" w:styleId="WW-WW8Num1ztrue1">
    <w:name w:val="WW-WW8Num1ztrue1"/>
    <w:rsid w:val="000C38DA"/>
  </w:style>
  <w:style w:type="character" w:customStyle="1" w:styleId="WW-WW8Num1ztrue2">
    <w:name w:val="WW-WW8Num1ztrue2"/>
    <w:rsid w:val="000C38DA"/>
  </w:style>
  <w:style w:type="character" w:customStyle="1" w:styleId="WW-WW8Num1ztrue3">
    <w:name w:val="WW-WW8Num1ztrue3"/>
    <w:rsid w:val="000C38DA"/>
  </w:style>
  <w:style w:type="character" w:customStyle="1" w:styleId="WW-WW8Num1ztrue4">
    <w:name w:val="WW-WW8Num1ztrue4"/>
    <w:rsid w:val="000C38DA"/>
  </w:style>
  <w:style w:type="character" w:customStyle="1" w:styleId="WW-WW8Num1ztrue5">
    <w:name w:val="WW-WW8Num1ztrue5"/>
    <w:rsid w:val="000C38DA"/>
  </w:style>
  <w:style w:type="character" w:customStyle="1" w:styleId="WW-WW8Num1ztrue6">
    <w:name w:val="WW-WW8Num1ztrue6"/>
    <w:rsid w:val="000C38DA"/>
  </w:style>
  <w:style w:type="character" w:customStyle="1" w:styleId="Policepardfaut2">
    <w:name w:val="Police par défaut2"/>
    <w:rsid w:val="000C38DA"/>
  </w:style>
  <w:style w:type="character" w:customStyle="1" w:styleId="Absatz-Standardschriftart">
    <w:name w:val="Absatz-Standardschriftart"/>
    <w:rsid w:val="000C38DA"/>
  </w:style>
  <w:style w:type="character" w:customStyle="1" w:styleId="WW-Absatz-Standardschriftart">
    <w:name w:val="WW-Absatz-Standardschriftart"/>
    <w:rsid w:val="000C38DA"/>
  </w:style>
  <w:style w:type="character" w:customStyle="1" w:styleId="Policepardfaut1">
    <w:name w:val="Police par défaut1"/>
    <w:rsid w:val="000C38DA"/>
  </w:style>
  <w:style w:type="character" w:customStyle="1" w:styleId="Titre1Car">
    <w:name w:val="Titre 1 Car"/>
    <w:basedOn w:val="Policepardfaut2"/>
    <w:rsid w:val="000C38DA"/>
    <w:rPr>
      <w:b/>
      <w:sz w:val="22"/>
    </w:rPr>
  </w:style>
  <w:style w:type="character" w:customStyle="1" w:styleId="En-tteCar">
    <w:name w:val="En-tête Car"/>
    <w:basedOn w:val="Policepardfaut2"/>
    <w:rsid w:val="000C38DA"/>
    <w:rPr>
      <w:rFonts w:ascii="Helvetica" w:eastAsia="Helvetica" w:hAnsi="Helvetica" w:cs="Mangal"/>
      <w:sz w:val="24"/>
      <w:lang w:val="en-US" w:bidi="hi-IN"/>
    </w:rPr>
  </w:style>
  <w:style w:type="character" w:customStyle="1" w:styleId="PieddepageCar">
    <w:name w:val="Pied de page Car"/>
    <w:basedOn w:val="Policepardfaut2"/>
    <w:rsid w:val="000C38DA"/>
    <w:rPr>
      <w:rFonts w:ascii="Helvetica" w:eastAsia="Helvetica" w:hAnsi="Helvetica" w:cs="Mangal"/>
      <w:sz w:val="24"/>
      <w:lang w:val="en-US" w:bidi="hi-IN"/>
    </w:rPr>
  </w:style>
  <w:style w:type="paragraph" w:customStyle="1" w:styleId="Titre3">
    <w:name w:val="Titre3"/>
    <w:basedOn w:val="Normal"/>
    <w:next w:val="Corpsdetexte"/>
    <w:rsid w:val="000C38DA"/>
    <w:pPr>
      <w:keepNext/>
      <w:spacing w:before="240" w:after="120"/>
    </w:pPr>
    <w:rPr>
      <w:rFonts w:ascii="Arial" w:eastAsia="Microsoft YaHei" w:hAnsi="Arial" w:cs="Mangal"/>
      <w:sz w:val="28"/>
      <w:szCs w:val="28"/>
    </w:rPr>
  </w:style>
  <w:style w:type="paragraph" w:styleId="Corpsdetexte">
    <w:name w:val="Body Text"/>
    <w:basedOn w:val="Normal"/>
    <w:rsid w:val="000C38DA"/>
    <w:pPr>
      <w:spacing w:after="120"/>
    </w:pPr>
  </w:style>
  <w:style w:type="paragraph" w:styleId="Liste">
    <w:name w:val="List"/>
    <w:basedOn w:val="Corpsdetexte"/>
    <w:rsid w:val="000C38DA"/>
  </w:style>
  <w:style w:type="paragraph" w:styleId="Lgende">
    <w:name w:val="caption"/>
    <w:basedOn w:val="Normal"/>
    <w:qFormat/>
    <w:rsid w:val="000C38DA"/>
    <w:pPr>
      <w:suppressLineNumbers/>
      <w:spacing w:before="120" w:after="120"/>
    </w:pPr>
    <w:rPr>
      <w:rFonts w:cs="Mangal"/>
      <w:i/>
      <w:iCs/>
      <w:szCs w:val="24"/>
    </w:rPr>
  </w:style>
  <w:style w:type="paragraph" w:customStyle="1" w:styleId="Index">
    <w:name w:val="Index"/>
    <w:basedOn w:val="Normal"/>
    <w:rsid w:val="000C38DA"/>
    <w:pPr>
      <w:suppressLineNumbers/>
    </w:pPr>
  </w:style>
  <w:style w:type="paragraph" w:customStyle="1" w:styleId="Titre2">
    <w:name w:val="Titre2"/>
    <w:basedOn w:val="Normal"/>
    <w:next w:val="Corpsdetexte"/>
    <w:rsid w:val="000C38DA"/>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C38DA"/>
    <w:pPr>
      <w:keepNext/>
      <w:spacing w:before="240" w:after="120"/>
    </w:pPr>
    <w:rPr>
      <w:rFonts w:ascii="Arial" w:eastAsia="Arial Unicode MS" w:hAnsi="Arial" w:cs="Arial Unicode MS"/>
      <w:sz w:val="28"/>
      <w:szCs w:val="28"/>
    </w:rPr>
  </w:style>
  <w:style w:type="paragraph" w:customStyle="1" w:styleId="Lgende1">
    <w:name w:val="Légende1"/>
    <w:basedOn w:val="Normal"/>
    <w:rsid w:val="000C38DA"/>
    <w:pPr>
      <w:suppressLineNumbers/>
      <w:spacing w:before="120" w:after="120"/>
    </w:pPr>
    <w:rPr>
      <w:i/>
      <w:iCs/>
      <w:szCs w:val="24"/>
    </w:rPr>
  </w:style>
  <w:style w:type="paragraph" w:styleId="En-tte">
    <w:name w:val="header"/>
    <w:basedOn w:val="Normal"/>
    <w:rsid w:val="000C38DA"/>
    <w:rPr>
      <w:rFonts w:cs="Mangal"/>
    </w:rPr>
  </w:style>
  <w:style w:type="paragraph" w:styleId="Pieddepage">
    <w:name w:val="footer"/>
    <w:basedOn w:val="Normal"/>
    <w:rsid w:val="000C38DA"/>
    <w:rPr>
      <w:rFonts w:cs="Mangal"/>
    </w:rPr>
  </w:style>
  <w:style w:type="paragraph" w:customStyle="1" w:styleId="Contenudetableau">
    <w:name w:val="Contenu de tableau"/>
    <w:basedOn w:val="Normal"/>
    <w:rsid w:val="000C38DA"/>
    <w:pPr>
      <w:suppressLineNumbers/>
    </w:pPr>
  </w:style>
  <w:style w:type="paragraph" w:customStyle="1" w:styleId="Titredetableau">
    <w:name w:val="Titre de tableau"/>
    <w:basedOn w:val="Contenudetableau"/>
    <w:rsid w:val="000C38DA"/>
    <w:pPr>
      <w:jc w:val="center"/>
    </w:pPr>
    <w:rPr>
      <w:b/>
      <w:bCs/>
    </w:rPr>
  </w:style>
  <w:style w:type="paragraph" w:styleId="Textedebulles">
    <w:name w:val="Balloon Text"/>
    <w:basedOn w:val="Normal"/>
    <w:link w:val="TextedebullesCar"/>
    <w:uiPriority w:val="99"/>
    <w:semiHidden/>
    <w:unhideWhenUsed/>
    <w:rsid w:val="00F51B5E"/>
    <w:rPr>
      <w:rFonts w:ascii="Tahoma" w:hAnsi="Tahoma" w:cs="Mangal"/>
      <w:sz w:val="16"/>
      <w:szCs w:val="14"/>
    </w:rPr>
  </w:style>
  <w:style w:type="character" w:customStyle="1" w:styleId="TextedebullesCar">
    <w:name w:val="Texte de bulles Car"/>
    <w:basedOn w:val="Policepardfaut"/>
    <w:link w:val="Textedebulles"/>
    <w:uiPriority w:val="99"/>
    <w:semiHidden/>
    <w:rsid w:val="00F51B5E"/>
    <w:rPr>
      <w:rFonts w:ascii="Tahoma" w:eastAsia="Helvetica" w:hAnsi="Tahoma" w:cs="Mangal"/>
      <w:sz w:val="16"/>
      <w:szCs w:val="1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2190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5</cp:revision>
  <cp:lastPrinted>1899-12-31T22:00:00Z</cp:lastPrinted>
  <dcterms:created xsi:type="dcterms:W3CDTF">2016-03-07T20:47:00Z</dcterms:created>
  <dcterms:modified xsi:type="dcterms:W3CDTF">2016-04-14T06:37:00Z</dcterms:modified>
</cp:coreProperties>
</file>