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3577"/>
      </w:tblGrid>
      <w:tr w:rsidR="00E167D7" w:rsidRPr="009C711D" w:rsidTr="00AB4BF3">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3577"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35097A">
              <w:rPr>
                <w:rFonts w:ascii="Times New Roman" w:hAnsi="Times New Roman" w:cs="Times New Roman"/>
                <w:b/>
                <w:sz w:val="22"/>
                <w:szCs w:val="22"/>
              </w:rPr>
              <w:t>3-22-3</w:t>
            </w:r>
          </w:p>
        </w:tc>
      </w:tr>
      <w:tr w:rsidR="00E167D7" w:rsidRPr="009C711D" w:rsidTr="00AB4BF3">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3577"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3376D5" w:rsidTr="00AB4BF3">
        <w:tc>
          <w:tcPr>
            <w:tcW w:w="10773"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35097A">
              <w:rPr>
                <w:rFonts w:ascii="Times New Roman" w:hAnsi="Times New Roman" w:cs="Times New Roman"/>
                <w:b/>
                <w:sz w:val="22"/>
                <w:szCs w:val="22"/>
                <w:lang w:val="fr-FR"/>
              </w:rPr>
              <w:t>Quelles p</w:t>
            </w:r>
            <w:r w:rsidR="000E5449">
              <w:rPr>
                <w:rFonts w:ascii="Times New Roman" w:hAnsi="Times New Roman" w:cs="Times New Roman"/>
                <w:b/>
                <w:sz w:val="22"/>
                <w:szCs w:val="22"/>
                <w:lang w:val="fr-FR"/>
              </w:rPr>
              <w:t>olitiques pour l’emploi ?</w:t>
            </w:r>
          </w:p>
        </w:tc>
      </w:tr>
      <w:tr w:rsidR="00E167D7" w:rsidRPr="003376D5" w:rsidTr="00AB4BF3">
        <w:tc>
          <w:tcPr>
            <w:tcW w:w="10773"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p>
          <w:p w:rsidR="00E167D7" w:rsidRPr="009C711D" w:rsidRDefault="00383877">
            <w:pPr>
              <w:rPr>
                <w:rFonts w:ascii="Times New Roman" w:hAnsi="Times New Roman" w:cs="Times New Roman"/>
                <w:b/>
                <w:sz w:val="22"/>
                <w:szCs w:val="22"/>
                <w:lang w:val="fr-FR"/>
              </w:rPr>
            </w:pPr>
            <w:r>
              <w:rPr>
                <w:rFonts w:ascii="Times New Roman" w:hAnsi="Times New Roman" w:cs="Times New Roman"/>
                <w:b/>
                <w:sz w:val="22"/>
                <w:szCs w:val="22"/>
                <w:lang w:val="fr-FR"/>
              </w:rPr>
              <w:t>Vous montrerez quelles sont les effets des politiques d’emplois sur le chômage en France.</w:t>
            </w:r>
          </w:p>
        </w:tc>
      </w:tr>
      <w:tr w:rsidR="00E167D7" w:rsidRPr="009C711D" w:rsidTr="00AB4BF3">
        <w:tc>
          <w:tcPr>
            <w:tcW w:w="10773"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9C711D" w:rsidTr="00AB4BF3">
        <w:tc>
          <w:tcPr>
            <w:tcW w:w="10773" w:type="dxa"/>
            <w:gridSpan w:val="3"/>
          </w:tcPr>
          <w:p w:rsidR="00383877" w:rsidRDefault="00B80B45" w:rsidP="00AB4BF3">
            <w:pPr>
              <w:ind w:right="-142"/>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AB4BF3">
              <w:rPr>
                <w:rFonts w:ascii="Times New Roman" w:hAnsi="Times New Roman" w:cs="Times New Roman"/>
                <w:sz w:val="22"/>
                <w:szCs w:val="22"/>
                <w:lang w:val="fr-FR"/>
              </w:rPr>
              <w:t xml:space="preserve"> Comparez à l’aide du document 1 les données du chômage en France avec celles de l’Allemagne et de </w:t>
            </w:r>
            <w:r w:rsidR="00383877">
              <w:rPr>
                <w:rFonts w:ascii="Times New Roman" w:hAnsi="Times New Roman" w:cs="Times New Roman"/>
                <w:sz w:val="22"/>
                <w:szCs w:val="22"/>
                <w:lang w:val="fr-FR"/>
              </w:rPr>
              <w:t xml:space="preserve">l’Espagne. </w:t>
            </w:r>
          </w:p>
          <w:p w:rsidR="00E167D7" w:rsidRPr="009C711D" w:rsidRDefault="00383877" w:rsidP="00AB4BF3">
            <w:pPr>
              <w:ind w:right="-142"/>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0035097A">
              <w:rPr>
                <w:rFonts w:ascii="Times New Roman" w:hAnsi="Times New Roman" w:cs="Times New Roman"/>
                <w:sz w:val="22"/>
                <w:szCs w:val="22"/>
                <w:lang w:val="fr-FR"/>
              </w:rPr>
              <w:t>(4</w:t>
            </w:r>
            <w:r w:rsidR="00AB4BF3">
              <w:rPr>
                <w:rFonts w:ascii="Times New Roman" w:hAnsi="Times New Roman" w:cs="Times New Roman"/>
                <w:sz w:val="22"/>
                <w:szCs w:val="22"/>
                <w:lang w:val="fr-FR"/>
              </w:rPr>
              <w:t xml:space="preserve"> pts)</w:t>
            </w:r>
          </w:p>
        </w:tc>
      </w:tr>
      <w:tr w:rsidR="00E167D7" w:rsidRPr="009C711D" w:rsidTr="00AB4BF3">
        <w:tc>
          <w:tcPr>
            <w:tcW w:w="10773"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3261E5">
              <w:rPr>
                <w:rFonts w:ascii="Times New Roman" w:hAnsi="Times New Roman" w:cs="Times New Roman"/>
                <w:sz w:val="22"/>
                <w:szCs w:val="22"/>
                <w:lang w:val="fr-FR"/>
              </w:rPr>
              <w:t xml:space="preserve"> En quoi le marché du travail est-il un marché de c</w:t>
            </w:r>
            <w:r w:rsidR="0035097A">
              <w:rPr>
                <w:rFonts w:ascii="Times New Roman" w:hAnsi="Times New Roman" w:cs="Times New Roman"/>
                <w:sz w:val="22"/>
                <w:szCs w:val="22"/>
                <w:lang w:val="fr-FR"/>
              </w:rPr>
              <w:t>oncurrence pure et parfaite ? (3</w:t>
            </w:r>
            <w:r w:rsidR="003261E5">
              <w:rPr>
                <w:rFonts w:ascii="Times New Roman" w:hAnsi="Times New Roman" w:cs="Times New Roman"/>
                <w:sz w:val="22"/>
                <w:szCs w:val="22"/>
                <w:lang w:val="fr-FR"/>
              </w:rPr>
              <w:t xml:space="preserve"> pts)</w:t>
            </w:r>
          </w:p>
        </w:tc>
      </w:tr>
      <w:tr w:rsidR="00E167D7" w:rsidRPr="009C711D" w:rsidTr="00AB4BF3">
        <w:tc>
          <w:tcPr>
            <w:tcW w:w="10773"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3261E5">
              <w:rPr>
                <w:rFonts w:ascii="Times New Roman" w:hAnsi="Times New Roman" w:cs="Times New Roman"/>
                <w:sz w:val="22"/>
                <w:szCs w:val="22"/>
                <w:lang w:val="fr-FR"/>
              </w:rPr>
              <w:t xml:space="preserve"> En quoi l’IDH (Indicateur de Développement Humain) constitue-t-il  une amélioration par rapport au PIB par habitant ? (3 pts)</w:t>
            </w:r>
          </w:p>
        </w:tc>
      </w:tr>
    </w:tbl>
    <w:p w:rsidR="001A16C8" w:rsidRPr="009C711D" w:rsidRDefault="001A16C8">
      <w:pPr>
        <w:rPr>
          <w:rFonts w:ascii="Times New Roman" w:hAnsi="Times New Roman"/>
          <w:sz w:val="22"/>
          <w:szCs w:val="22"/>
          <w:lang w:val="fr-FR"/>
        </w:rPr>
      </w:pPr>
    </w:p>
    <w:tbl>
      <w:tblPr>
        <w:tblW w:w="9300" w:type="dxa"/>
        <w:tblInd w:w="55" w:type="dxa"/>
        <w:tblCellMar>
          <w:left w:w="70" w:type="dxa"/>
          <w:right w:w="70" w:type="dxa"/>
        </w:tblCellMar>
        <w:tblLook w:val="04A0"/>
      </w:tblPr>
      <w:tblGrid>
        <w:gridCol w:w="2593"/>
        <w:gridCol w:w="940"/>
        <w:gridCol w:w="2407"/>
        <w:gridCol w:w="1220"/>
        <w:gridCol w:w="1080"/>
        <w:gridCol w:w="1060"/>
      </w:tblGrid>
      <w:tr w:rsidR="009C6A34" w:rsidRPr="003376D5" w:rsidTr="009C6A34">
        <w:trPr>
          <w:trHeight w:val="255"/>
        </w:trPr>
        <w:tc>
          <w:tcPr>
            <w:tcW w:w="5940" w:type="dxa"/>
            <w:gridSpan w:val="3"/>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bookmarkStart w:id="0" w:name="RANGE!A1"/>
            <w:r>
              <w:rPr>
                <w:rFonts w:ascii="Arial" w:eastAsia="Times New Roman" w:hAnsi="Arial" w:cs="Arial"/>
                <w:b/>
                <w:bCs/>
                <w:sz w:val="20"/>
                <w:lang w:val="fr-FR" w:eastAsia="fr-FR" w:bidi="ar-SA"/>
              </w:rPr>
              <w:t xml:space="preserve">DOCUMENT 1 : </w:t>
            </w:r>
            <w:r w:rsidRPr="009C6A34">
              <w:rPr>
                <w:rFonts w:ascii="Arial" w:eastAsia="Times New Roman" w:hAnsi="Arial" w:cs="Arial"/>
                <w:b/>
                <w:bCs/>
                <w:sz w:val="20"/>
                <w:lang w:val="fr-FR" w:eastAsia="fr-FR" w:bidi="ar-SA"/>
              </w:rPr>
              <w:t>Chômage dans l'Union européenne en 2012</w:t>
            </w:r>
            <w:bookmarkEnd w:id="0"/>
          </w:p>
        </w:tc>
        <w:tc>
          <w:tcPr>
            <w:tcW w:w="122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08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106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r>
      <w:tr w:rsidR="009C6A34" w:rsidRPr="003376D5" w:rsidTr="009C6A34">
        <w:trPr>
          <w:trHeight w:val="255"/>
        </w:trPr>
        <w:tc>
          <w:tcPr>
            <w:tcW w:w="2593"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94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2407"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122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08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106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r>
      <w:tr w:rsidR="009C6A34" w:rsidRPr="009C6A34" w:rsidTr="009C6A34">
        <w:trPr>
          <w:trHeight w:val="255"/>
        </w:trPr>
        <w:tc>
          <w:tcPr>
            <w:tcW w:w="2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bookmarkStart w:id="1" w:name="RANGE!A3:F4"/>
            <w:r w:rsidRPr="009C6A34">
              <w:rPr>
                <w:rFonts w:ascii="Arial" w:eastAsia="Times New Roman" w:hAnsi="Arial" w:cs="Arial"/>
                <w:sz w:val="20"/>
                <w:lang w:val="fr-FR" w:eastAsia="fr-FR" w:bidi="ar-SA"/>
              </w:rPr>
              <w:t> </w:t>
            </w:r>
            <w:bookmarkEnd w:id="1"/>
          </w:p>
        </w:tc>
        <w:tc>
          <w:tcPr>
            <w:tcW w:w="3347" w:type="dxa"/>
            <w:gridSpan w:val="2"/>
            <w:tcBorders>
              <w:top w:val="single" w:sz="4" w:space="0" w:color="auto"/>
              <w:left w:val="nil"/>
              <w:bottom w:val="single" w:sz="4" w:space="0" w:color="auto"/>
              <w:right w:val="single" w:sz="4" w:space="0" w:color="auto"/>
            </w:tcBorders>
            <w:shd w:val="clear" w:color="auto" w:fill="auto"/>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Chômeurs (en milliers)</w:t>
            </w:r>
          </w:p>
        </w:tc>
        <w:tc>
          <w:tcPr>
            <w:tcW w:w="33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Taux de chômage (en %)</w:t>
            </w:r>
          </w:p>
        </w:tc>
      </w:tr>
      <w:tr w:rsidR="009C6A34" w:rsidRPr="009C6A34" w:rsidTr="009C6A34">
        <w:trPr>
          <w:trHeight w:val="255"/>
        </w:trPr>
        <w:tc>
          <w:tcPr>
            <w:tcW w:w="2593" w:type="dxa"/>
            <w:vMerge/>
            <w:tcBorders>
              <w:top w:val="single" w:sz="4" w:space="0" w:color="auto"/>
              <w:left w:val="single" w:sz="4" w:space="0" w:color="auto"/>
              <w:bottom w:val="single" w:sz="4" w:space="0" w:color="auto"/>
              <w:right w:val="single" w:sz="4" w:space="0" w:color="auto"/>
            </w:tcBorders>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Nombre</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Évolution 2012/2011</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Ensemble</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color w:val="000000"/>
                <w:sz w:val="20"/>
                <w:lang w:val="fr-FR" w:eastAsia="fr-FR" w:bidi="ar-SA"/>
              </w:rPr>
            </w:pPr>
            <w:r w:rsidRPr="009C6A34">
              <w:rPr>
                <w:rFonts w:ascii="Arial" w:eastAsia="Times New Roman" w:hAnsi="Arial" w:cs="Arial"/>
                <w:b/>
                <w:bCs/>
                <w:color w:val="000000"/>
                <w:sz w:val="20"/>
                <w:lang w:val="fr-FR" w:eastAsia="fr-FR" w:bidi="ar-SA"/>
              </w:rPr>
              <w:t>Hommes</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center"/>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Femmes</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bookmarkStart w:id="2" w:name="RANGE!A5:A17"/>
            <w:r w:rsidRPr="009C6A34">
              <w:rPr>
                <w:rFonts w:ascii="Arial" w:eastAsia="Times New Roman" w:hAnsi="Arial" w:cs="Arial"/>
                <w:sz w:val="20"/>
                <w:lang w:val="fr-FR" w:eastAsia="fr-FR" w:bidi="ar-SA"/>
              </w:rPr>
              <w:t xml:space="preserve">Allemagne </w:t>
            </w:r>
            <w:bookmarkEnd w:id="2"/>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bookmarkStart w:id="3" w:name="RANGE!B5:F17"/>
            <w:r w:rsidRPr="009C6A34">
              <w:rPr>
                <w:rFonts w:ascii="Arial" w:eastAsia="Times New Roman" w:hAnsi="Arial" w:cs="Arial"/>
                <w:sz w:val="20"/>
                <w:lang w:val="fr-FR" w:eastAsia="fr-FR" w:bidi="ar-SA"/>
              </w:rPr>
              <w:t>2 308,9</w:t>
            </w:r>
            <w:bookmarkEnd w:id="3"/>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-186</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bookmarkStart w:id="4" w:name="RANGE!D5:D17"/>
            <w:r w:rsidRPr="009C6A34">
              <w:rPr>
                <w:rFonts w:ascii="Arial" w:eastAsia="Times New Roman" w:hAnsi="Arial" w:cs="Arial"/>
                <w:b/>
                <w:bCs/>
                <w:sz w:val="20"/>
                <w:lang w:val="fr-FR" w:eastAsia="fr-FR" w:bidi="ar-SA"/>
              </w:rPr>
              <w:t>5,6</w:t>
            </w:r>
            <w:bookmarkEnd w:id="4"/>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5,8</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5,3</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Autriche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188,8</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10</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4,4</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4,4</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4,4</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Belgique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368,4</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22</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7,6</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7,7</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7,4</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Espagne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5 762,6</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767</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25,2</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24,9</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25,5</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France</w:t>
            </w:r>
          </w:p>
        </w:tc>
        <w:tc>
          <w:tcPr>
            <w:tcW w:w="940" w:type="dxa"/>
            <w:tcBorders>
              <w:top w:val="nil"/>
              <w:left w:val="nil"/>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2 820,7</w:t>
            </w:r>
          </w:p>
        </w:tc>
        <w:tc>
          <w:tcPr>
            <w:tcW w:w="2407" w:type="dxa"/>
            <w:tcBorders>
              <w:top w:val="nil"/>
              <w:left w:val="nil"/>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211</w:t>
            </w:r>
          </w:p>
        </w:tc>
        <w:tc>
          <w:tcPr>
            <w:tcW w:w="1220" w:type="dxa"/>
            <w:tcBorders>
              <w:top w:val="nil"/>
              <w:left w:val="nil"/>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9,9</w:t>
            </w:r>
          </w:p>
        </w:tc>
        <w:tc>
          <w:tcPr>
            <w:tcW w:w="1080" w:type="dxa"/>
            <w:tcBorders>
              <w:top w:val="nil"/>
              <w:left w:val="nil"/>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9,8</w:t>
            </w:r>
          </w:p>
        </w:tc>
        <w:tc>
          <w:tcPr>
            <w:tcW w:w="1060" w:type="dxa"/>
            <w:tcBorders>
              <w:top w:val="nil"/>
              <w:left w:val="nil"/>
              <w:bottom w:val="single" w:sz="4" w:space="0" w:color="auto"/>
              <w:right w:val="single" w:sz="4" w:space="0" w:color="auto"/>
            </w:tcBorders>
            <w:shd w:val="clear" w:color="000000" w:fill="D8D8D8"/>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10,1</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Grèce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1 201,1</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326</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24,5</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21,6</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28,3</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Irlande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315,2</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15,0</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18,1</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11,1</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Italie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2 735,6</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632</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10,8</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10,0</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12,0</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Pays-Bas</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460,0</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78</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5,3</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5,3</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5,2</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Portugal</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855,3</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152</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16,4</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16,6</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16,2</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Royaume-Uni</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2 488,8</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-25</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8,0</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8,5</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7,5</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Suède</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399,7</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11</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8,1</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8,5</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sz w:val="20"/>
                <w:lang w:val="fr-FR" w:eastAsia="fr-FR" w:bidi="ar-SA"/>
              </w:rPr>
            </w:pPr>
            <w:r w:rsidRPr="009C6A34">
              <w:rPr>
                <w:rFonts w:ascii="Arial" w:eastAsia="Times New Roman" w:hAnsi="Arial" w:cs="Arial"/>
                <w:sz w:val="20"/>
                <w:lang w:val="fr-FR" w:eastAsia="fr-FR" w:bidi="ar-SA"/>
              </w:rPr>
              <w:t>7,8</w:t>
            </w:r>
          </w:p>
        </w:tc>
      </w:tr>
      <w:tr w:rsidR="009C6A34" w:rsidRPr="009C6A34" w:rsidTr="009C6A34">
        <w:trPr>
          <w:trHeight w:val="255"/>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Union européenne à 28</w:t>
            </w:r>
          </w:p>
        </w:tc>
        <w:tc>
          <w:tcPr>
            <w:tcW w:w="94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25 258,4</w:t>
            </w:r>
          </w:p>
        </w:tc>
        <w:tc>
          <w:tcPr>
            <w:tcW w:w="2407"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2 060</w:t>
            </w:r>
          </w:p>
        </w:tc>
        <w:tc>
          <w:tcPr>
            <w:tcW w:w="122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10,6</w:t>
            </w:r>
          </w:p>
        </w:tc>
        <w:tc>
          <w:tcPr>
            <w:tcW w:w="108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10,6</w:t>
            </w:r>
          </w:p>
        </w:tc>
        <w:tc>
          <w:tcPr>
            <w:tcW w:w="1060" w:type="dxa"/>
            <w:tcBorders>
              <w:top w:val="nil"/>
              <w:left w:val="nil"/>
              <w:bottom w:val="single" w:sz="4" w:space="0" w:color="auto"/>
              <w:right w:val="single" w:sz="4" w:space="0" w:color="auto"/>
            </w:tcBorders>
            <w:shd w:val="clear" w:color="auto" w:fill="auto"/>
            <w:noWrap/>
            <w:vAlign w:val="center"/>
            <w:hideMark/>
          </w:tcPr>
          <w:p w:rsidR="009C6A34" w:rsidRPr="009C6A34" w:rsidRDefault="009C6A34" w:rsidP="009C6A34">
            <w:pPr>
              <w:widowControl/>
              <w:suppressAutoHyphens w:val="0"/>
              <w:jc w:val="right"/>
              <w:rPr>
                <w:rFonts w:ascii="Arial" w:eastAsia="Times New Roman" w:hAnsi="Arial" w:cs="Arial"/>
                <w:b/>
                <w:bCs/>
                <w:sz w:val="20"/>
                <w:lang w:val="fr-FR" w:eastAsia="fr-FR" w:bidi="ar-SA"/>
              </w:rPr>
            </w:pPr>
            <w:r w:rsidRPr="009C6A34">
              <w:rPr>
                <w:rFonts w:ascii="Arial" w:eastAsia="Times New Roman" w:hAnsi="Arial" w:cs="Arial"/>
                <w:b/>
                <w:bCs/>
                <w:sz w:val="20"/>
                <w:lang w:val="fr-FR" w:eastAsia="fr-FR" w:bidi="ar-SA"/>
              </w:rPr>
              <w:t>10,6</w:t>
            </w:r>
          </w:p>
        </w:tc>
      </w:tr>
      <w:tr w:rsidR="009C6A34" w:rsidRPr="003376D5" w:rsidTr="009C6A34">
        <w:trPr>
          <w:trHeight w:val="255"/>
        </w:trPr>
        <w:tc>
          <w:tcPr>
            <w:tcW w:w="3533" w:type="dxa"/>
            <w:gridSpan w:val="2"/>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16"/>
                <w:szCs w:val="16"/>
                <w:lang w:val="fr-FR" w:eastAsia="fr-FR" w:bidi="ar-SA"/>
              </w:rPr>
            </w:pPr>
            <w:bookmarkStart w:id="5" w:name="RANGE!A18:A19"/>
            <w:r w:rsidRPr="009C6A34">
              <w:rPr>
                <w:rFonts w:ascii="Arial" w:eastAsia="Times New Roman" w:hAnsi="Arial" w:cs="Arial"/>
                <w:sz w:val="16"/>
                <w:szCs w:val="16"/>
                <w:lang w:val="fr-FR" w:eastAsia="fr-FR" w:bidi="ar-SA"/>
              </w:rPr>
              <w:t>Note : données en moyenne annuelle.</w:t>
            </w:r>
            <w:bookmarkEnd w:id="5"/>
          </w:p>
        </w:tc>
        <w:tc>
          <w:tcPr>
            <w:tcW w:w="2407"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22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08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06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r>
      <w:tr w:rsidR="009C6A34" w:rsidRPr="003376D5" w:rsidTr="009C6A34">
        <w:trPr>
          <w:trHeight w:val="255"/>
        </w:trPr>
        <w:tc>
          <w:tcPr>
            <w:tcW w:w="3533" w:type="dxa"/>
            <w:gridSpan w:val="2"/>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16"/>
                <w:szCs w:val="16"/>
                <w:lang w:val="fr-FR" w:eastAsia="fr-FR" w:bidi="ar-SA"/>
              </w:rPr>
            </w:pPr>
            <w:r w:rsidRPr="009C6A34">
              <w:rPr>
                <w:rFonts w:ascii="Arial" w:eastAsia="Times New Roman" w:hAnsi="Arial" w:cs="Arial"/>
                <w:sz w:val="16"/>
                <w:szCs w:val="16"/>
                <w:lang w:val="fr-FR" w:eastAsia="fr-FR" w:bidi="ar-SA"/>
              </w:rPr>
              <w:t>Champ : personnes de 15 à 64 ans.</w:t>
            </w:r>
          </w:p>
        </w:tc>
        <w:tc>
          <w:tcPr>
            <w:tcW w:w="2407" w:type="dxa"/>
            <w:tcBorders>
              <w:top w:val="nil"/>
              <w:left w:val="nil"/>
              <w:bottom w:val="nil"/>
              <w:right w:val="nil"/>
            </w:tcBorders>
            <w:shd w:val="clear" w:color="auto" w:fill="auto"/>
            <w:vAlign w:val="center"/>
            <w:hideMark/>
          </w:tcPr>
          <w:p w:rsidR="009C6A34" w:rsidRPr="009C6A34" w:rsidRDefault="009C6A34" w:rsidP="009C6A34">
            <w:pPr>
              <w:widowControl/>
              <w:suppressAutoHyphens w:val="0"/>
              <w:rPr>
                <w:rFonts w:ascii="Arial" w:eastAsia="Times New Roman" w:hAnsi="Arial" w:cs="Arial"/>
                <w:sz w:val="16"/>
                <w:szCs w:val="16"/>
                <w:lang w:val="fr-FR" w:eastAsia="fr-FR" w:bidi="ar-SA"/>
              </w:rPr>
            </w:pPr>
          </w:p>
        </w:tc>
        <w:tc>
          <w:tcPr>
            <w:tcW w:w="1220" w:type="dxa"/>
            <w:tcBorders>
              <w:top w:val="nil"/>
              <w:left w:val="nil"/>
              <w:bottom w:val="nil"/>
              <w:right w:val="nil"/>
            </w:tcBorders>
            <w:shd w:val="clear" w:color="auto" w:fill="auto"/>
            <w:vAlign w:val="center"/>
            <w:hideMark/>
          </w:tcPr>
          <w:p w:rsidR="009C6A34" w:rsidRPr="009C6A34" w:rsidRDefault="009C6A34" w:rsidP="009C6A34">
            <w:pPr>
              <w:widowControl/>
              <w:suppressAutoHyphens w:val="0"/>
              <w:rPr>
                <w:rFonts w:ascii="Arial" w:eastAsia="Times New Roman" w:hAnsi="Arial" w:cs="Arial"/>
                <w:b/>
                <w:bCs/>
                <w:sz w:val="16"/>
                <w:szCs w:val="16"/>
                <w:lang w:val="fr-FR" w:eastAsia="fr-FR" w:bidi="ar-SA"/>
              </w:rPr>
            </w:pPr>
          </w:p>
        </w:tc>
        <w:tc>
          <w:tcPr>
            <w:tcW w:w="1080" w:type="dxa"/>
            <w:tcBorders>
              <w:top w:val="nil"/>
              <w:left w:val="nil"/>
              <w:bottom w:val="nil"/>
              <w:right w:val="nil"/>
            </w:tcBorders>
            <w:shd w:val="clear" w:color="auto" w:fill="auto"/>
            <w:vAlign w:val="center"/>
            <w:hideMark/>
          </w:tcPr>
          <w:p w:rsidR="009C6A34" w:rsidRPr="009C6A34" w:rsidRDefault="009C6A34" w:rsidP="009C6A34">
            <w:pPr>
              <w:widowControl/>
              <w:suppressAutoHyphens w:val="0"/>
              <w:rPr>
                <w:rFonts w:ascii="Arial" w:eastAsia="Times New Roman" w:hAnsi="Arial" w:cs="Arial"/>
                <w:sz w:val="16"/>
                <w:szCs w:val="16"/>
                <w:lang w:val="fr-FR" w:eastAsia="fr-FR" w:bidi="ar-SA"/>
              </w:rPr>
            </w:pPr>
          </w:p>
        </w:tc>
        <w:tc>
          <w:tcPr>
            <w:tcW w:w="1060" w:type="dxa"/>
            <w:tcBorders>
              <w:top w:val="nil"/>
              <w:left w:val="nil"/>
              <w:bottom w:val="nil"/>
              <w:right w:val="nil"/>
            </w:tcBorders>
            <w:shd w:val="clear" w:color="auto" w:fill="auto"/>
            <w:vAlign w:val="center"/>
            <w:hideMark/>
          </w:tcPr>
          <w:p w:rsidR="009C6A34" w:rsidRPr="009C6A34" w:rsidRDefault="009C6A34" w:rsidP="009C6A34">
            <w:pPr>
              <w:widowControl/>
              <w:suppressAutoHyphens w:val="0"/>
              <w:rPr>
                <w:rFonts w:ascii="Arial" w:eastAsia="Times New Roman" w:hAnsi="Arial" w:cs="Arial"/>
                <w:sz w:val="16"/>
                <w:szCs w:val="16"/>
                <w:lang w:val="fr-FR" w:eastAsia="fr-FR" w:bidi="ar-SA"/>
              </w:rPr>
            </w:pPr>
          </w:p>
        </w:tc>
      </w:tr>
      <w:tr w:rsidR="009C6A34" w:rsidRPr="009C6A34" w:rsidTr="009C6A34">
        <w:trPr>
          <w:trHeight w:val="255"/>
        </w:trPr>
        <w:tc>
          <w:tcPr>
            <w:tcW w:w="3533" w:type="dxa"/>
            <w:gridSpan w:val="2"/>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i/>
                <w:iCs/>
                <w:sz w:val="16"/>
                <w:szCs w:val="16"/>
                <w:lang w:val="fr-FR" w:eastAsia="fr-FR" w:bidi="ar-SA"/>
              </w:rPr>
            </w:pPr>
            <w:bookmarkStart w:id="6" w:name="RANGE!A20"/>
            <w:r w:rsidRPr="009C6A34">
              <w:rPr>
                <w:rFonts w:ascii="Arial" w:eastAsia="Times New Roman" w:hAnsi="Arial" w:cs="Arial"/>
                <w:i/>
                <w:iCs/>
                <w:sz w:val="16"/>
                <w:szCs w:val="16"/>
                <w:lang w:val="fr-FR" w:eastAsia="fr-FR" w:bidi="ar-SA"/>
              </w:rPr>
              <w:t>Source : Eurostat (extraction du 4/07/2013).</w:t>
            </w:r>
            <w:bookmarkEnd w:id="6"/>
          </w:p>
        </w:tc>
        <w:tc>
          <w:tcPr>
            <w:tcW w:w="2407"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122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b/>
                <w:bCs/>
                <w:sz w:val="20"/>
                <w:lang w:val="fr-FR" w:eastAsia="fr-FR" w:bidi="ar-SA"/>
              </w:rPr>
            </w:pPr>
          </w:p>
        </w:tc>
        <w:tc>
          <w:tcPr>
            <w:tcW w:w="108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c>
          <w:tcPr>
            <w:tcW w:w="1060" w:type="dxa"/>
            <w:tcBorders>
              <w:top w:val="nil"/>
              <w:left w:val="nil"/>
              <w:bottom w:val="nil"/>
              <w:right w:val="nil"/>
            </w:tcBorders>
            <w:shd w:val="clear" w:color="auto" w:fill="auto"/>
            <w:noWrap/>
            <w:vAlign w:val="center"/>
            <w:hideMark/>
          </w:tcPr>
          <w:p w:rsidR="009C6A34" w:rsidRPr="009C6A34" w:rsidRDefault="009C6A34" w:rsidP="009C6A34">
            <w:pPr>
              <w:widowControl/>
              <w:suppressAutoHyphens w:val="0"/>
              <w:rPr>
                <w:rFonts w:ascii="Arial" w:eastAsia="Times New Roman" w:hAnsi="Arial" w:cs="Arial"/>
                <w:sz w:val="20"/>
                <w:lang w:val="fr-FR" w:eastAsia="fr-FR" w:bidi="ar-SA"/>
              </w:rPr>
            </w:pPr>
          </w:p>
        </w:tc>
      </w:tr>
    </w:tbl>
    <w:p w:rsidR="00B80B45" w:rsidRPr="009C711D" w:rsidRDefault="00B8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80B45" w:rsidRPr="000E5449"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0E5449">
        <w:rPr>
          <w:rFonts w:ascii="Times New Roman" w:hAnsi="Times New Roman"/>
          <w:b/>
          <w:color w:val="000000"/>
          <w:sz w:val="22"/>
          <w:szCs w:val="22"/>
          <w:lang w:val="fr-FR"/>
        </w:rPr>
        <w:t>DOCUMENT 2</w:t>
      </w:r>
    </w:p>
    <w:p w:rsidR="009C6A34" w:rsidRDefault="009C6A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D2DD5" w:rsidRPr="00BD2DD5" w:rsidRDefault="00BD2DD5" w:rsidP="00BD2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b/>
          <w:color w:val="000000"/>
          <w:sz w:val="22"/>
          <w:szCs w:val="22"/>
          <w:lang w:val="fr-FR"/>
        </w:rPr>
      </w:pPr>
      <w:r w:rsidRPr="00BD2DD5">
        <w:rPr>
          <w:rFonts w:ascii="Times New Roman" w:hAnsi="Times New Roman"/>
          <w:b/>
          <w:color w:val="000000"/>
          <w:sz w:val="22"/>
          <w:szCs w:val="22"/>
          <w:lang w:val="fr-FR"/>
        </w:rPr>
        <w:t>Contrats aidés : Une relance encore poussive.</w:t>
      </w:r>
    </w:p>
    <w:p w:rsidR="00BD2DD5" w:rsidRDefault="00BD2DD5" w:rsidP="00BD2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 xml:space="preserve">Malgré les ambitions affichées par le gouvernement, le nombre de personnes qui bénéficient d’un contrat aidé reste pour l’instant inférieur au </w:t>
      </w:r>
      <w:r w:rsidR="003376D5">
        <w:rPr>
          <w:rFonts w:ascii="Times New Roman" w:hAnsi="Times New Roman"/>
          <w:color w:val="000000"/>
          <w:sz w:val="22"/>
          <w:szCs w:val="22"/>
          <w:lang w:val="fr-FR"/>
        </w:rPr>
        <w:t>niveau enregistré en 2010. En c</w:t>
      </w:r>
      <w:r>
        <w:rPr>
          <w:rFonts w:ascii="Times New Roman" w:hAnsi="Times New Roman"/>
          <w:color w:val="000000"/>
          <w:sz w:val="22"/>
          <w:szCs w:val="22"/>
          <w:lang w:val="fr-FR"/>
        </w:rPr>
        <w:t xml:space="preserve">ause, la montée en charge progressive des emplois d’avenir et des contrats de générations, les deux nouveaux contrats </w:t>
      </w:r>
      <w:r w:rsidR="003376D5">
        <w:rPr>
          <w:rFonts w:ascii="Times New Roman" w:hAnsi="Times New Roman"/>
          <w:color w:val="000000"/>
          <w:sz w:val="22"/>
          <w:szCs w:val="22"/>
          <w:lang w:val="fr-FR"/>
        </w:rPr>
        <w:t xml:space="preserve">créés par François Hollande. </w:t>
      </w:r>
    </w:p>
    <w:p w:rsidR="00BD2DD5" w:rsidRPr="00BD2DD5" w:rsidRDefault="00BD2DD5" w:rsidP="00BD2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b/>
          <w:color w:val="000000"/>
          <w:sz w:val="22"/>
          <w:szCs w:val="22"/>
          <w:lang w:val="fr-FR"/>
        </w:rPr>
      </w:pPr>
      <w:r w:rsidRPr="00BD2DD5">
        <w:rPr>
          <w:rFonts w:ascii="Times New Roman" w:hAnsi="Times New Roman"/>
          <w:b/>
          <w:color w:val="000000"/>
          <w:sz w:val="22"/>
          <w:szCs w:val="22"/>
          <w:lang w:val="fr-FR"/>
        </w:rPr>
        <w:t>Davantage de flexibilité ?</w:t>
      </w:r>
    </w:p>
    <w:p w:rsidR="00BD2DD5" w:rsidRDefault="00BD2DD5" w:rsidP="00BD2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Selon le patronat, les rigidités du marché du travail hexagonal seraient la cause du chômage. Il est pourtant plus flexible qu’on ne le pense généralement : selon l’OCDE, c’est surtout la règlementation des contrats courts qui est protectrice en France. En revanche, il est plus facile de licencier un salarié à contrat à durée indéterminée chez nous qu’en Belgique ou en Allemagne. D’autre part, aucune étude n’a jamais démontré de lien entre flexibilité du marché du travail et faible taux de chômage. Ainsi le Royaume-Uni, les Etats Unis et la Suède ont des taux de chômage comparable, mais des modèles sociaux qui n’ont rien à voir. Et d’autres pays comme la Belgique, ont une législation aussi protectrice que la France, mais un taux de chômage plus faible.</w:t>
      </w:r>
    </w:p>
    <w:p w:rsidR="00AB4BF3" w:rsidRPr="009C711D" w:rsidRDefault="00AB4BF3" w:rsidP="003376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6A34">
        <w:rPr>
          <w:rFonts w:ascii="Arial" w:eastAsia="Times New Roman" w:hAnsi="Arial" w:cs="Arial"/>
          <w:i/>
          <w:iCs/>
          <w:sz w:val="16"/>
          <w:szCs w:val="16"/>
          <w:lang w:val="fr-FR" w:eastAsia="fr-FR" w:bidi="ar-SA"/>
        </w:rPr>
        <w:t xml:space="preserve">Source : </w:t>
      </w:r>
      <w:r>
        <w:rPr>
          <w:rFonts w:ascii="Arial" w:eastAsia="Times New Roman" w:hAnsi="Arial" w:cs="Arial"/>
          <w:i/>
          <w:iCs/>
          <w:sz w:val="16"/>
          <w:szCs w:val="16"/>
          <w:lang w:val="fr-FR" w:eastAsia="fr-FR" w:bidi="ar-SA"/>
        </w:rPr>
        <w:t>Alternatives Economiques Hors série n°98 – 4</w:t>
      </w:r>
      <w:r w:rsidRPr="00AB4BF3">
        <w:rPr>
          <w:rFonts w:ascii="Arial" w:eastAsia="Times New Roman" w:hAnsi="Arial" w:cs="Arial"/>
          <w:i/>
          <w:iCs/>
          <w:sz w:val="16"/>
          <w:szCs w:val="16"/>
          <w:vertAlign w:val="superscript"/>
          <w:lang w:val="fr-FR" w:eastAsia="fr-FR" w:bidi="ar-SA"/>
        </w:rPr>
        <w:t>ème</w:t>
      </w:r>
      <w:r>
        <w:rPr>
          <w:rFonts w:ascii="Arial" w:eastAsia="Times New Roman" w:hAnsi="Arial" w:cs="Arial"/>
          <w:i/>
          <w:iCs/>
          <w:sz w:val="16"/>
          <w:szCs w:val="16"/>
          <w:lang w:val="fr-FR" w:eastAsia="fr-FR" w:bidi="ar-SA"/>
        </w:rPr>
        <w:t xml:space="preserve"> trimestre 2013</w:t>
      </w:r>
      <w:r w:rsidRPr="009C6A34">
        <w:rPr>
          <w:rFonts w:ascii="Arial" w:eastAsia="Times New Roman" w:hAnsi="Arial" w:cs="Arial"/>
          <w:i/>
          <w:iCs/>
          <w:sz w:val="16"/>
          <w:szCs w:val="16"/>
          <w:lang w:val="fr-FR" w:eastAsia="fr-FR" w:bidi="ar-SA"/>
        </w:rPr>
        <w:t>.</w:t>
      </w:r>
    </w:p>
    <w:sectPr w:rsidR="00AB4BF3" w:rsidRPr="009C711D" w:rsidSect="000E5449">
      <w:footerReference w:type="default" r:id="rId6"/>
      <w:pgSz w:w="11906" w:h="16838"/>
      <w:pgMar w:top="426" w:right="1134" w:bottom="14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9F" w:rsidRDefault="00C5439F" w:rsidP="009C711D">
      <w:r>
        <w:separator/>
      </w:r>
    </w:p>
  </w:endnote>
  <w:endnote w:type="continuationSeparator" w:id="1">
    <w:p w:rsidR="00C5439F" w:rsidRDefault="00C5439F"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77" w:rsidRPr="009C711D" w:rsidRDefault="00383877"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83877" w:rsidRPr="009C711D" w:rsidRDefault="00383877">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9F" w:rsidRDefault="00C5439F" w:rsidP="009C711D">
      <w:r>
        <w:separator/>
      </w:r>
    </w:p>
  </w:footnote>
  <w:footnote w:type="continuationSeparator" w:id="1">
    <w:p w:rsidR="00C5439F" w:rsidRDefault="00C5439F"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0E5449"/>
    <w:rsid w:val="001A16C8"/>
    <w:rsid w:val="002853AB"/>
    <w:rsid w:val="003261E5"/>
    <w:rsid w:val="003376D5"/>
    <w:rsid w:val="0035097A"/>
    <w:rsid w:val="00383877"/>
    <w:rsid w:val="004054BB"/>
    <w:rsid w:val="005F742A"/>
    <w:rsid w:val="009C6A34"/>
    <w:rsid w:val="009C711D"/>
    <w:rsid w:val="00AB4BF3"/>
    <w:rsid w:val="00AC472F"/>
    <w:rsid w:val="00AD42D7"/>
    <w:rsid w:val="00B80B45"/>
    <w:rsid w:val="00BD2DD5"/>
    <w:rsid w:val="00C5439F"/>
    <w:rsid w:val="00CD72FE"/>
    <w:rsid w:val="00E12866"/>
    <w:rsid w:val="00E167D7"/>
    <w:rsid w:val="00E94CFA"/>
    <w:rsid w:val="00F339F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D7"/>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AD42D7"/>
  </w:style>
  <w:style w:type="character" w:customStyle="1" w:styleId="WW-Absatz-Standardschriftart">
    <w:name w:val="WW-Absatz-Standardschriftart"/>
    <w:rsid w:val="00AD42D7"/>
  </w:style>
  <w:style w:type="character" w:customStyle="1" w:styleId="Policepardfaut1">
    <w:name w:val="Police par défaut1"/>
    <w:rsid w:val="00AD42D7"/>
  </w:style>
  <w:style w:type="paragraph" w:customStyle="1" w:styleId="Titre10">
    <w:name w:val="Titre1"/>
    <w:basedOn w:val="Normal"/>
    <w:next w:val="Corpsdetexte"/>
    <w:rsid w:val="00AD42D7"/>
    <w:pPr>
      <w:keepNext/>
      <w:spacing w:before="240" w:after="120"/>
    </w:pPr>
    <w:rPr>
      <w:rFonts w:ascii="Arial" w:eastAsia="Arial Unicode MS" w:hAnsi="Arial" w:cs="Arial Unicode MS"/>
      <w:sz w:val="28"/>
      <w:szCs w:val="28"/>
    </w:rPr>
  </w:style>
  <w:style w:type="paragraph" w:styleId="Corpsdetexte">
    <w:name w:val="Body Text"/>
    <w:basedOn w:val="Normal"/>
    <w:rsid w:val="00AD42D7"/>
    <w:pPr>
      <w:spacing w:after="120"/>
    </w:pPr>
  </w:style>
  <w:style w:type="paragraph" w:styleId="Liste">
    <w:name w:val="List"/>
    <w:basedOn w:val="Corpsdetexte"/>
    <w:rsid w:val="00AD42D7"/>
  </w:style>
  <w:style w:type="paragraph" w:customStyle="1" w:styleId="Lgende1">
    <w:name w:val="Légende1"/>
    <w:basedOn w:val="Normal"/>
    <w:rsid w:val="00AD42D7"/>
    <w:pPr>
      <w:suppressLineNumbers/>
      <w:spacing w:before="120" w:after="120"/>
    </w:pPr>
    <w:rPr>
      <w:i/>
      <w:iCs/>
      <w:szCs w:val="24"/>
    </w:rPr>
  </w:style>
  <w:style w:type="paragraph" w:customStyle="1" w:styleId="Index">
    <w:name w:val="Index"/>
    <w:basedOn w:val="Normal"/>
    <w:rsid w:val="00AD42D7"/>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divs>
    <w:div w:id="168493853">
      <w:bodyDiv w:val="1"/>
      <w:marLeft w:val="0"/>
      <w:marRight w:val="0"/>
      <w:marTop w:val="0"/>
      <w:marBottom w:val="0"/>
      <w:divBdr>
        <w:top w:val="none" w:sz="0" w:space="0" w:color="auto"/>
        <w:left w:val="none" w:sz="0" w:space="0" w:color="auto"/>
        <w:bottom w:val="none" w:sz="0" w:space="0" w:color="auto"/>
        <w:right w:val="none" w:sz="0" w:space="0" w:color="auto"/>
      </w:divBdr>
      <w:divsChild>
        <w:div w:id="367802028">
          <w:marLeft w:val="0"/>
          <w:marRight w:val="0"/>
          <w:marTop w:val="0"/>
          <w:marBottom w:val="0"/>
          <w:divBdr>
            <w:top w:val="none" w:sz="0" w:space="0" w:color="auto"/>
            <w:left w:val="none" w:sz="0" w:space="0" w:color="auto"/>
            <w:bottom w:val="none" w:sz="0" w:space="0" w:color="auto"/>
            <w:right w:val="none" w:sz="0" w:space="0" w:color="auto"/>
          </w:divBdr>
        </w:div>
      </w:divsChild>
    </w:div>
    <w:div w:id="7863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1601-01-01T00:00:00Z</cp:lastPrinted>
  <dcterms:created xsi:type="dcterms:W3CDTF">2014-03-12T10:51:00Z</dcterms:created>
  <dcterms:modified xsi:type="dcterms:W3CDTF">2014-04-05T06:46:00Z</dcterms:modified>
</cp:coreProperties>
</file>