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F95347">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rPr>
              <w:t xml:space="preserve">N° du sujet : </w:t>
            </w:r>
            <w:r w:rsidR="009804D0">
              <w:rPr>
                <w:rFonts w:ascii="Times New Roman" w:hAnsi="Times New Roman" w:cs="Times New Roman"/>
                <w:b/>
                <w:sz w:val="22"/>
                <w:szCs w:val="22"/>
              </w:rPr>
              <w:t>14c7-1-31-1</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rPr>
              <w:t>Durée de l'interrogation : 20 minutes</w:t>
            </w:r>
          </w:p>
        </w:tc>
      </w:tr>
      <w:tr w:rsidR="00E167D7" w:rsidRPr="009804D0"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9804D0">
              <w:rPr>
                <w:rFonts w:ascii="Times New Roman" w:hAnsi="Times New Roman" w:cs="Times New Roman"/>
                <w:b/>
                <w:sz w:val="22"/>
                <w:szCs w:val="22"/>
                <w:lang w:val="fr-FR"/>
              </w:rPr>
              <w:t>La croissance économique est-elle compatible avec la préservation de l’environnement ?</w:t>
            </w:r>
          </w:p>
        </w:tc>
      </w:tr>
      <w:tr w:rsidR="00E167D7" w:rsidRPr="009804D0" w:rsidTr="001A16C8">
        <w:tc>
          <w:tcPr>
            <w:tcW w:w="9778" w:type="dxa"/>
            <w:gridSpan w:val="3"/>
          </w:tcPr>
          <w:p w:rsidR="00E167D7" w:rsidRPr="009C711D" w:rsidRDefault="00E167D7" w:rsidP="006E3450">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362E07">
              <w:rPr>
                <w:rFonts w:ascii="Times New Roman" w:hAnsi="Times New Roman" w:cs="Times New Roman"/>
                <w:b/>
                <w:sz w:val="22"/>
                <w:szCs w:val="22"/>
                <w:lang w:val="fr-FR"/>
              </w:rPr>
              <w:t xml:space="preserve"> quels sont les instruments dont disposent les pouvoirs publics pour mener des politiques environnementales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9804D0"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CE4C1A">
              <w:rPr>
                <w:rFonts w:ascii="Times New Roman" w:hAnsi="Times New Roman" w:cs="Times New Roman"/>
                <w:sz w:val="22"/>
                <w:szCs w:val="22"/>
                <w:lang w:val="fr-FR"/>
              </w:rPr>
              <w:t xml:space="preserve"> </w:t>
            </w:r>
            <w:r w:rsidR="00DE7279">
              <w:rPr>
                <w:rFonts w:ascii="Times New Roman" w:hAnsi="Times New Roman" w:cs="Times New Roman"/>
                <w:sz w:val="22"/>
                <w:szCs w:val="22"/>
                <w:lang w:val="fr-FR"/>
              </w:rPr>
              <w:t xml:space="preserve"> Expliquez la phrase soulignée dans le document 1. </w:t>
            </w:r>
            <w:r w:rsidR="009804D0">
              <w:rPr>
                <w:rFonts w:ascii="Times New Roman" w:hAnsi="Times New Roman" w:cs="Times New Roman"/>
                <w:sz w:val="22"/>
                <w:szCs w:val="22"/>
                <w:lang w:val="fr-FR"/>
              </w:rPr>
              <w:t>(4</w:t>
            </w:r>
            <w:r w:rsidR="00CE4C1A">
              <w:rPr>
                <w:rFonts w:ascii="Times New Roman" w:hAnsi="Times New Roman" w:cs="Times New Roman"/>
                <w:sz w:val="22"/>
                <w:szCs w:val="22"/>
                <w:lang w:val="fr-FR"/>
              </w:rPr>
              <w:t xml:space="preserve"> points</w:t>
            </w:r>
            <w:r w:rsidR="009804D0">
              <w:rPr>
                <w:rFonts w:ascii="Times New Roman" w:hAnsi="Times New Roman" w:cs="Times New Roman"/>
                <w:sz w:val="22"/>
                <w:szCs w:val="22"/>
                <w:lang w:val="fr-FR"/>
              </w:rPr>
              <w:t>)</w:t>
            </w:r>
          </w:p>
        </w:tc>
      </w:tr>
      <w:tr w:rsidR="00E167D7" w:rsidRPr="009804D0"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w:t>
            </w:r>
            <w:r w:rsidR="006E200B">
              <w:rPr>
                <w:rFonts w:ascii="Times New Roman" w:hAnsi="Times New Roman" w:cs="Times New Roman"/>
                <w:sz w:val="22"/>
                <w:szCs w:val="22"/>
                <w:lang w:val="fr-FR"/>
              </w:rPr>
              <w:t xml:space="preserve">   Présentez l’analyse des classes sociales selon K. MARX. </w:t>
            </w:r>
            <w:r w:rsidR="00E167D7" w:rsidRPr="009C711D">
              <w:rPr>
                <w:rFonts w:ascii="Times New Roman" w:hAnsi="Times New Roman" w:cs="Times New Roman"/>
                <w:sz w:val="22"/>
                <w:szCs w:val="22"/>
                <w:lang w:val="fr-FR"/>
              </w:rPr>
              <w:t xml:space="preserve"> </w:t>
            </w:r>
            <w:r w:rsidR="009804D0">
              <w:rPr>
                <w:rFonts w:ascii="Times New Roman" w:hAnsi="Times New Roman" w:cs="Times New Roman"/>
                <w:sz w:val="22"/>
                <w:szCs w:val="22"/>
                <w:lang w:val="fr-FR"/>
              </w:rPr>
              <w:t>(3</w:t>
            </w:r>
            <w:r w:rsidR="00CE4C1A">
              <w:rPr>
                <w:rFonts w:ascii="Times New Roman" w:hAnsi="Times New Roman" w:cs="Times New Roman"/>
                <w:sz w:val="22"/>
                <w:szCs w:val="22"/>
                <w:lang w:val="fr-FR"/>
              </w:rPr>
              <w:t xml:space="preserve"> points</w:t>
            </w:r>
            <w:r w:rsidR="009804D0">
              <w:rPr>
                <w:rFonts w:ascii="Times New Roman" w:hAnsi="Times New Roman" w:cs="Times New Roman"/>
                <w:sz w:val="22"/>
                <w:szCs w:val="22"/>
                <w:lang w:val="fr-FR"/>
              </w:rPr>
              <w:t>)</w:t>
            </w:r>
          </w:p>
        </w:tc>
      </w:tr>
      <w:tr w:rsidR="00E167D7" w:rsidRPr="009804D0"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362E07">
              <w:rPr>
                <w:rFonts w:ascii="Times New Roman" w:hAnsi="Times New Roman" w:cs="Times New Roman"/>
                <w:sz w:val="22"/>
                <w:szCs w:val="22"/>
                <w:lang w:val="fr-FR"/>
              </w:rPr>
              <w:t xml:space="preserve"> </w:t>
            </w:r>
            <w:r w:rsidR="00CE4C1A">
              <w:rPr>
                <w:rFonts w:ascii="Times New Roman" w:hAnsi="Times New Roman" w:cs="Times New Roman"/>
                <w:sz w:val="22"/>
                <w:szCs w:val="22"/>
                <w:lang w:val="fr-FR"/>
              </w:rPr>
              <w:t xml:space="preserve"> </w:t>
            </w:r>
            <w:r w:rsidR="009804D0">
              <w:rPr>
                <w:rFonts w:ascii="Times New Roman" w:hAnsi="Times New Roman" w:cs="Times New Roman"/>
                <w:sz w:val="22"/>
                <w:szCs w:val="22"/>
                <w:lang w:val="fr-FR"/>
              </w:rPr>
              <w:t xml:space="preserve"> </w:t>
            </w:r>
            <w:r w:rsidR="006E200B">
              <w:rPr>
                <w:rFonts w:ascii="Times New Roman" w:hAnsi="Times New Roman" w:cs="Times New Roman"/>
                <w:sz w:val="22"/>
                <w:szCs w:val="22"/>
                <w:lang w:val="fr-FR"/>
              </w:rPr>
              <w:t xml:space="preserve">Qu’est-ce que le salaire d’efficience ? </w:t>
            </w:r>
            <w:r w:rsidR="009804D0">
              <w:rPr>
                <w:rFonts w:ascii="Times New Roman" w:hAnsi="Times New Roman" w:cs="Times New Roman"/>
                <w:sz w:val="22"/>
                <w:szCs w:val="22"/>
                <w:lang w:val="fr-FR"/>
              </w:rPr>
              <w:t>(</w:t>
            </w:r>
            <w:r w:rsidR="00CE4C1A">
              <w:rPr>
                <w:rFonts w:ascii="Times New Roman" w:hAnsi="Times New Roman" w:cs="Times New Roman"/>
                <w:sz w:val="22"/>
                <w:szCs w:val="22"/>
                <w:lang w:val="fr-FR"/>
              </w:rPr>
              <w:t>3 points</w:t>
            </w:r>
            <w:r w:rsidR="009804D0">
              <w:rPr>
                <w:rFonts w:ascii="Times New Roman" w:hAnsi="Times New Roman" w:cs="Times New Roman"/>
                <w:sz w:val="22"/>
                <w:szCs w:val="22"/>
                <w:lang w:val="fr-FR"/>
              </w:rPr>
              <w:t>)</w:t>
            </w:r>
          </w:p>
        </w:tc>
      </w:tr>
    </w:tbl>
    <w:p w:rsidR="001A16C8" w:rsidRPr="009C711D" w:rsidRDefault="001A16C8">
      <w:pPr>
        <w:rPr>
          <w:rFonts w:ascii="Times New Roman" w:hAnsi="Times New Roman"/>
          <w:sz w:val="22"/>
          <w:szCs w:val="22"/>
          <w:lang w:val="fr-FR"/>
        </w:rPr>
      </w:pPr>
    </w:p>
    <w:p w:rsidR="00926B42"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p>
    <w:p w:rsidR="009804D0" w:rsidRDefault="009804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362E07" w:rsidRPr="00DE7279" w:rsidRDefault="00362E07" w:rsidP="00362E0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olor w:val="000000"/>
          <w:szCs w:val="24"/>
          <w:lang w:val="fr-FR"/>
        </w:rPr>
      </w:pPr>
      <w:r w:rsidRPr="00DE7279">
        <w:rPr>
          <w:rFonts w:ascii="Times New Roman" w:hAnsi="Times New Roman"/>
          <w:color w:val="000000"/>
          <w:szCs w:val="24"/>
          <w:lang w:val="fr-FR"/>
        </w:rPr>
        <w:t xml:space="preserve">Le réchauffement climatique en cours est un sous-produit de la croissance passée. </w:t>
      </w:r>
    </w:p>
    <w:p w:rsidR="00362E07" w:rsidRPr="00DE7279" w:rsidRDefault="00362E07" w:rsidP="00362E0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olor w:val="000000"/>
          <w:szCs w:val="24"/>
          <w:lang w:val="fr-FR"/>
        </w:rPr>
      </w:pPr>
      <w:r w:rsidRPr="00DE7279">
        <w:rPr>
          <w:rFonts w:ascii="Times New Roman" w:hAnsi="Times New Roman"/>
          <w:color w:val="000000"/>
          <w:szCs w:val="24"/>
          <w:lang w:val="fr-FR"/>
        </w:rPr>
        <w:t xml:space="preserve">Les économistes ont donc toute leur place dans la réflexion sur les stratégies de lutte contre le réchauffement climatique parce qu’ils peuvent apporter des instruments permettant de gérer le problème climatique de façon </w:t>
      </w:r>
      <w:r w:rsidRPr="00DE7279">
        <w:rPr>
          <w:rFonts w:ascii="Times New Roman" w:hAnsi="Times New Roman"/>
          <w:i/>
          <w:iCs/>
          <w:color w:val="000000"/>
          <w:szCs w:val="24"/>
          <w:lang w:val="fr-FR"/>
        </w:rPr>
        <w:t>efficace</w:t>
      </w:r>
      <w:r w:rsidRPr="00DE7279">
        <w:rPr>
          <w:rFonts w:ascii="Times New Roman" w:hAnsi="Times New Roman"/>
          <w:color w:val="000000"/>
          <w:szCs w:val="24"/>
          <w:lang w:val="fr-FR"/>
        </w:rPr>
        <w:t>.</w:t>
      </w:r>
    </w:p>
    <w:p w:rsidR="00362E07" w:rsidRPr="00DE7279" w:rsidRDefault="00362E07" w:rsidP="00362E07">
      <w:pPr>
        <w:pStyle w:val="Default"/>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DE7279">
        <w:rPr>
          <w:rFonts w:ascii="Times New Roman" w:hAnsi="Times New Roman" w:cs="Times New Roman"/>
        </w:rPr>
        <w:t xml:space="preserve">Ils sont de deux types : </w:t>
      </w:r>
      <w:r w:rsidRPr="00DE7279">
        <w:rPr>
          <w:rFonts w:ascii="Times New Roman" w:hAnsi="Times New Roman" w:cs="Times New Roman"/>
          <w:i/>
          <w:iCs/>
        </w:rPr>
        <w:t>les instruments réglementaires</w:t>
      </w:r>
      <w:r w:rsidRPr="00DE7279">
        <w:rPr>
          <w:rFonts w:ascii="Times New Roman" w:hAnsi="Times New Roman" w:cs="Times New Roman"/>
        </w:rPr>
        <w:t xml:space="preserve">, comme par exemple les normes en matière d’habitat imposées par les lois Grenelle en France, et les </w:t>
      </w:r>
      <w:r w:rsidRPr="00DE7279">
        <w:rPr>
          <w:rFonts w:ascii="Times New Roman" w:hAnsi="Times New Roman" w:cs="Times New Roman"/>
          <w:i/>
          <w:iCs/>
        </w:rPr>
        <w:t xml:space="preserve">instruments économiques </w:t>
      </w:r>
      <w:r w:rsidRPr="00DE7279">
        <w:rPr>
          <w:rFonts w:ascii="Times New Roman" w:hAnsi="Times New Roman" w:cs="Times New Roman"/>
        </w:rPr>
        <w:t>que sont les taxes et les marchés de permis d’émissions négociables.</w:t>
      </w:r>
    </w:p>
    <w:p w:rsidR="00362E07" w:rsidRPr="00DE7279" w:rsidRDefault="00362E07" w:rsidP="00362E07">
      <w:pPr>
        <w:pStyle w:val="Default"/>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DE7279">
        <w:rPr>
          <w:rFonts w:ascii="Times New Roman" w:hAnsi="Times New Roman" w:cs="Times New Roman"/>
          <w:b/>
          <w:u w:val="single"/>
        </w:rPr>
        <w:t xml:space="preserve">Les normes </w:t>
      </w:r>
      <w:r w:rsidRPr="00DE7279">
        <w:rPr>
          <w:rFonts w:ascii="Times New Roman" w:hAnsi="Times New Roman" w:cs="Times New Roman"/>
          <w:b/>
          <w:i/>
          <w:iCs/>
          <w:u w:val="single"/>
        </w:rPr>
        <w:t xml:space="preserve">contraignent </w:t>
      </w:r>
      <w:r w:rsidRPr="00DE7279">
        <w:rPr>
          <w:rFonts w:ascii="Times New Roman" w:hAnsi="Times New Roman" w:cs="Times New Roman"/>
          <w:b/>
          <w:u w:val="single"/>
        </w:rPr>
        <w:t xml:space="preserve">alors que taxes et marchés de permis </w:t>
      </w:r>
      <w:r w:rsidRPr="00DE7279">
        <w:rPr>
          <w:rFonts w:ascii="Times New Roman" w:hAnsi="Times New Roman" w:cs="Times New Roman"/>
          <w:b/>
          <w:i/>
          <w:iCs/>
          <w:u w:val="single"/>
        </w:rPr>
        <w:t xml:space="preserve">incitent </w:t>
      </w:r>
      <w:r w:rsidRPr="00DE7279">
        <w:rPr>
          <w:rFonts w:ascii="Times New Roman" w:hAnsi="Times New Roman" w:cs="Times New Roman"/>
          <w:b/>
          <w:u w:val="single"/>
        </w:rPr>
        <w:t xml:space="preserve">à réduire les émissions de </w:t>
      </w:r>
      <w:r w:rsidR="006E200B">
        <w:rPr>
          <w:rFonts w:ascii="Times New Roman" w:hAnsi="Times New Roman" w:cs="Times New Roman"/>
          <w:b/>
          <w:u w:val="single"/>
        </w:rPr>
        <w:t xml:space="preserve">gaz à effets de serre </w:t>
      </w:r>
      <w:r w:rsidRPr="00DE7279">
        <w:rPr>
          <w:rFonts w:ascii="Times New Roman" w:hAnsi="Times New Roman" w:cs="Times New Roman"/>
        </w:rPr>
        <w:t xml:space="preserve">. Ils y parviennent en donnant un prix à un bien qui auparavant n’en avait pas, le carbone émis dans l’atmosphère. Ce faisant, ils incitent bien les émetteurs à réduire leurs émissions, tant que le prix des émissions, c’est-à-dire la taxe ou le prix des permis, est plus élevé que l’avantage économique qu’elles leur procurent. Pour la plupart des économistes, elles [les normes] sont de bons instruments dans quelques situations particulières, mais, en règle générale, les instruments incitatifs sont préférables, car ils sont plus </w:t>
      </w:r>
      <w:r w:rsidRPr="00DE7279">
        <w:rPr>
          <w:rFonts w:ascii="Times New Roman" w:hAnsi="Times New Roman" w:cs="Times New Roman"/>
          <w:i/>
          <w:iCs/>
        </w:rPr>
        <w:t xml:space="preserve">efficaces </w:t>
      </w:r>
      <w:r w:rsidRPr="00DE7279">
        <w:rPr>
          <w:rFonts w:ascii="Times New Roman" w:hAnsi="Times New Roman" w:cs="Times New Roman"/>
        </w:rPr>
        <w:t xml:space="preserve">au sens où ils permettent d’atteindre une réduction d’émissions donnée à moindre coût. </w:t>
      </w:r>
    </w:p>
    <w:p w:rsidR="00362E07" w:rsidRPr="00B502DE" w:rsidRDefault="00B502DE" w:rsidP="00362E07">
      <w:pPr>
        <w:pBdr>
          <w:top w:val="single" w:sz="4" w:space="1" w:color="auto"/>
          <w:left w:val="single" w:sz="4" w:space="4" w:color="auto"/>
          <w:bottom w:val="single" w:sz="4" w:space="1" w:color="auto"/>
          <w:right w:val="single" w:sz="4" w:space="4" w:color="auto"/>
        </w:pBdr>
        <w:jc w:val="both"/>
        <w:rPr>
          <w:rFonts w:ascii="Times New Roman" w:hAnsi="Times New Roman"/>
          <w:szCs w:val="24"/>
          <w:lang w:val="fr-FR"/>
        </w:rPr>
      </w:pPr>
      <w:r>
        <w:rPr>
          <w:rFonts w:ascii="Times New Roman" w:hAnsi="Times New Roman"/>
          <w:color w:val="000000"/>
          <w:szCs w:val="24"/>
          <w:lang w:val="fr-FR"/>
        </w:rPr>
        <w:t xml:space="preserve">Source : </w:t>
      </w:r>
      <w:r w:rsidR="00362E07" w:rsidRPr="00DE7279">
        <w:rPr>
          <w:rFonts w:ascii="Times New Roman" w:hAnsi="Times New Roman"/>
          <w:color w:val="000000"/>
          <w:szCs w:val="24"/>
          <w:lang w:val="fr-FR"/>
        </w:rPr>
        <w:t xml:space="preserve">Lionel Ragot et Katheline Schubert, janvier 2010 </w:t>
      </w:r>
      <w:r w:rsidR="00362E07" w:rsidRPr="00B502DE">
        <w:rPr>
          <w:rFonts w:ascii="Times New Roman" w:hAnsi="Times New Roman"/>
          <w:szCs w:val="24"/>
          <w:lang w:val="fr-FR"/>
        </w:rPr>
        <w:t>(</w:t>
      </w:r>
      <w:hyperlink r:id="rId7" w:history="1">
        <w:r w:rsidR="00362E07" w:rsidRPr="00B502DE">
          <w:rPr>
            <w:rStyle w:val="Lienhypertexte"/>
            <w:rFonts w:ascii="Times New Roman" w:hAnsi="Times New Roman"/>
            <w:color w:val="auto"/>
            <w:szCs w:val="24"/>
            <w:lang w:val="fr-FR"/>
          </w:rPr>
          <w:t>http://www.laviedesidees.fr/Rechauffement-climatique-concilier.html</w:t>
        </w:r>
      </w:hyperlink>
      <w:r w:rsidR="00362E07" w:rsidRPr="00B502DE">
        <w:rPr>
          <w:rFonts w:ascii="Times New Roman" w:hAnsi="Times New Roman"/>
          <w:szCs w:val="24"/>
          <w:lang w:val="fr-FR"/>
        </w:rPr>
        <w:t>)</w:t>
      </w:r>
    </w:p>
    <w:p w:rsidR="00362E07" w:rsidRDefault="00362E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B502DE">
        <w:rPr>
          <w:rFonts w:ascii="Times New Roman" w:hAnsi="Times New Roman"/>
          <w:b/>
          <w:color w:val="000000"/>
          <w:sz w:val="22"/>
          <w:szCs w:val="22"/>
          <w:lang w:val="fr-FR"/>
        </w:rPr>
        <w:t>DOCUMENT 2</w:t>
      </w:r>
      <w:r w:rsidR="006E3450" w:rsidRPr="00B502DE">
        <w:rPr>
          <w:rFonts w:ascii="Times New Roman" w:hAnsi="Times New Roman"/>
          <w:b/>
          <w:color w:val="000000"/>
          <w:sz w:val="22"/>
          <w:szCs w:val="22"/>
          <w:lang w:val="fr-FR"/>
        </w:rPr>
        <w:t xml:space="preserve"> </w:t>
      </w:r>
    </w:p>
    <w:p w:rsidR="009804D0" w:rsidRPr="00B502DE" w:rsidRDefault="009804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p>
    <w:p w:rsidR="00B502DE" w:rsidRDefault="00B502DE" w:rsidP="00B50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00" w:lineRule="atLeast"/>
        <w:jc w:val="center"/>
        <w:rPr>
          <w:rFonts w:ascii="Times New Roman" w:hAnsi="Times New Roman"/>
          <w:b/>
          <w:color w:val="000000"/>
          <w:sz w:val="22"/>
          <w:szCs w:val="22"/>
          <w:lang w:val="fr-FR"/>
        </w:rPr>
      </w:pPr>
      <w:r w:rsidRPr="00B502DE">
        <w:rPr>
          <w:rFonts w:ascii="Times New Roman" w:hAnsi="Times New Roman"/>
          <w:b/>
          <w:color w:val="000000"/>
          <w:sz w:val="22"/>
          <w:szCs w:val="22"/>
          <w:lang w:val="fr-FR"/>
        </w:rPr>
        <w:t>Volume de transactions de quotas européens depuis le lancement du système d’échange de quotas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60"/>
        <w:gridCol w:w="3114"/>
        <w:gridCol w:w="2445"/>
      </w:tblGrid>
      <w:tr w:rsidR="00B502DE" w:rsidRPr="009804D0" w:rsidTr="004022F0">
        <w:tc>
          <w:tcPr>
            <w:tcW w:w="959"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p>
        </w:tc>
        <w:tc>
          <w:tcPr>
            <w:tcW w:w="3260"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Volumes échangés en millions de quotas</w:t>
            </w:r>
          </w:p>
        </w:tc>
        <w:tc>
          <w:tcPr>
            <w:tcW w:w="3114"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Valeur des transactions en millions d’euros</w:t>
            </w:r>
          </w:p>
        </w:tc>
        <w:tc>
          <w:tcPr>
            <w:tcW w:w="2445"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Prix moyen du quota en euros</w:t>
            </w:r>
          </w:p>
        </w:tc>
      </w:tr>
      <w:tr w:rsidR="00B502DE" w:rsidRPr="004022F0" w:rsidTr="004022F0">
        <w:tc>
          <w:tcPr>
            <w:tcW w:w="959"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2005</w:t>
            </w:r>
          </w:p>
        </w:tc>
        <w:tc>
          <w:tcPr>
            <w:tcW w:w="3260"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262</w:t>
            </w:r>
          </w:p>
        </w:tc>
        <w:tc>
          <w:tcPr>
            <w:tcW w:w="3114"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5 400</w:t>
            </w:r>
          </w:p>
        </w:tc>
        <w:tc>
          <w:tcPr>
            <w:tcW w:w="2445"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20,6</w:t>
            </w:r>
          </w:p>
        </w:tc>
      </w:tr>
      <w:tr w:rsidR="00B502DE" w:rsidRPr="004022F0" w:rsidTr="004022F0">
        <w:tc>
          <w:tcPr>
            <w:tcW w:w="959"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2006</w:t>
            </w:r>
          </w:p>
        </w:tc>
        <w:tc>
          <w:tcPr>
            <w:tcW w:w="3260"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828</w:t>
            </w:r>
          </w:p>
        </w:tc>
        <w:tc>
          <w:tcPr>
            <w:tcW w:w="3114"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14 500</w:t>
            </w:r>
          </w:p>
        </w:tc>
        <w:tc>
          <w:tcPr>
            <w:tcW w:w="2445"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17,5</w:t>
            </w:r>
          </w:p>
        </w:tc>
      </w:tr>
      <w:tr w:rsidR="00B502DE" w:rsidRPr="004022F0" w:rsidTr="004022F0">
        <w:tc>
          <w:tcPr>
            <w:tcW w:w="959"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2007</w:t>
            </w:r>
          </w:p>
        </w:tc>
        <w:tc>
          <w:tcPr>
            <w:tcW w:w="3260"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1 458</w:t>
            </w:r>
          </w:p>
        </w:tc>
        <w:tc>
          <w:tcPr>
            <w:tcW w:w="3114"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25 200</w:t>
            </w:r>
          </w:p>
        </w:tc>
        <w:tc>
          <w:tcPr>
            <w:tcW w:w="2445"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17,3</w:t>
            </w:r>
          </w:p>
        </w:tc>
      </w:tr>
      <w:tr w:rsidR="00B502DE" w:rsidRPr="004022F0" w:rsidTr="004022F0">
        <w:tc>
          <w:tcPr>
            <w:tcW w:w="959"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2008</w:t>
            </w:r>
          </w:p>
        </w:tc>
        <w:tc>
          <w:tcPr>
            <w:tcW w:w="3260"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2 731</w:t>
            </w:r>
          </w:p>
        </w:tc>
        <w:tc>
          <w:tcPr>
            <w:tcW w:w="3114"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61 200</w:t>
            </w:r>
          </w:p>
        </w:tc>
        <w:tc>
          <w:tcPr>
            <w:tcW w:w="2445"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22,4</w:t>
            </w:r>
          </w:p>
        </w:tc>
      </w:tr>
      <w:tr w:rsidR="00B502DE" w:rsidRPr="004022F0" w:rsidTr="004022F0">
        <w:tc>
          <w:tcPr>
            <w:tcW w:w="959"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2009</w:t>
            </w:r>
          </w:p>
        </w:tc>
        <w:tc>
          <w:tcPr>
            <w:tcW w:w="3260"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5 016</w:t>
            </w:r>
          </w:p>
        </w:tc>
        <w:tc>
          <w:tcPr>
            <w:tcW w:w="3114"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65 900</w:t>
            </w:r>
          </w:p>
        </w:tc>
        <w:tc>
          <w:tcPr>
            <w:tcW w:w="2445" w:type="dxa"/>
          </w:tcPr>
          <w:p w:rsidR="00B502DE" w:rsidRPr="004022F0" w:rsidRDefault="00B502DE" w:rsidP="00402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4022F0">
              <w:rPr>
                <w:rFonts w:ascii="Times New Roman" w:hAnsi="Times New Roman"/>
                <w:color w:val="000000"/>
                <w:sz w:val="22"/>
                <w:szCs w:val="22"/>
                <w:lang w:val="fr-FR"/>
              </w:rPr>
              <w:t>13,1</w:t>
            </w:r>
          </w:p>
        </w:tc>
      </w:tr>
    </w:tbl>
    <w:p w:rsidR="00B502DE" w:rsidRPr="00B502DE" w:rsidRDefault="00B502DE" w:rsidP="00B50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Pr>
          <w:rFonts w:ascii="Times New Roman" w:hAnsi="Times New Roman"/>
          <w:b/>
          <w:color w:val="000000"/>
          <w:sz w:val="22"/>
          <w:szCs w:val="22"/>
          <w:lang w:val="fr-FR"/>
        </w:rPr>
        <w:t>Source : Conseil économique pour le dévelop</w:t>
      </w:r>
      <w:r w:rsidR="009F12EF">
        <w:rPr>
          <w:rFonts w:ascii="Times New Roman" w:hAnsi="Times New Roman"/>
          <w:b/>
          <w:color w:val="000000"/>
          <w:sz w:val="22"/>
          <w:szCs w:val="22"/>
          <w:lang w:val="fr-FR"/>
        </w:rPr>
        <w:t>pement durable, « prix du quota</w:t>
      </w:r>
      <w:r>
        <w:rPr>
          <w:rFonts w:ascii="Times New Roman" w:hAnsi="Times New Roman"/>
          <w:b/>
          <w:color w:val="000000"/>
          <w:sz w:val="22"/>
          <w:szCs w:val="22"/>
          <w:lang w:val="fr-FR"/>
        </w:rPr>
        <w:t xml:space="preserve"> de CO2 et taxe carbone, quelques éléments de cadrage », N° 12, 2010</w:t>
      </w:r>
    </w:p>
    <w:p w:rsidR="006E3450" w:rsidRPr="006E3450" w:rsidRDefault="006E3450" w:rsidP="006E3450">
      <w:pPr>
        <w:tabs>
          <w:tab w:val="left" w:pos="3495"/>
        </w:tabs>
        <w:rPr>
          <w:rFonts w:ascii="Times New Roman" w:hAnsi="Times New Roman" w:cs="Times New Roman"/>
          <w:sz w:val="22"/>
          <w:szCs w:val="22"/>
          <w:lang w:val="fr-FR"/>
        </w:rPr>
      </w:pPr>
    </w:p>
    <w:sectPr w:rsidR="006E3450" w:rsidRPr="006E3450" w:rsidSect="006C585A">
      <w:footerReference w:type="default" r:id="rId8"/>
      <w:pgSz w:w="11906" w:h="16838"/>
      <w:pgMar w:top="993"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5E4" w:rsidRDefault="00AA55E4" w:rsidP="009C711D">
      <w:r>
        <w:separator/>
      </w:r>
    </w:p>
  </w:endnote>
  <w:endnote w:type="continuationSeparator" w:id="1">
    <w:p w:rsidR="00AA55E4" w:rsidRDefault="00AA55E4"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5E4" w:rsidRDefault="00AA55E4" w:rsidP="009C711D">
      <w:r>
        <w:separator/>
      </w:r>
    </w:p>
  </w:footnote>
  <w:footnote w:type="continuationSeparator" w:id="1">
    <w:p w:rsidR="00AA55E4" w:rsidRDefault="00AA55E4" w:rsidP="009C7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6DBC"/>
    <w:multiLevelType w:val="singleLevel"/>
    <w:tmpl w:val="081EBC42"/>
    <w:lvl w:ilvl="0">
      <w:start w:val="4"/>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32AD2"/>
    <w:rsid w:val="00081244"/>
    <w:rsid w:val="00167734"/>
    <w:rsid w:val="00187A8F"/>
    <w:rsid w:val="001A16C8"/>
    <w:rsid w:val="0021566F"/>
    <w:rsid w:val="002612B5"/>
    <w:rsid w:val="00362E07"/>
    <w:rsid w:val="004022F0"/>
    <w:rsid w:val="00445315"/>
    <w:rsid w:val="005914D1"/>
    <w:rsid w:val="00622754"/>
    <w:rsid w:val="006C585A"/>
    <w:rsid w:val="006E200B"/>
    <w:rsid w:val="006E3450"/>
    <w:rsid w:val="00926B42"/>
    <w:rsid w:val="00967292"/>
    <w:rsid w:val="009804D0"/>
    <w:rsid w:val="009C711D"/>
    <w:rsid w:val="009F12EF"/>
    <w:rsid w:val="00A8153A"/>
    <w:rsid w:val="00AA55E4"/>
    <w:rsid w:val="00B502DE"/>
    <w:rsid w:val="00B80B45"/>
    <w:rsid w:val="00CE4C1A"/>
    <w:rsid w:val="00DA0CB3"/>
    <w:rsid w:val="00DE7279"/>
    <w:rsid w:val="00E167D7"/>
    <w:rsid w:val="00E94CFA"/>
    <w:rsid w:val="00F9534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34"/>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167734"/>
  </w:style>
  <w:style w:type="character" w:customStyle="1" w:styleId="WW-Absatz-Standardschriftart">
    <w:name w:val="WW-Absatz-Standardschriftart"/>
    <w:rsid w:val="00167734"/>
  </w:style>
  <w:style w:type="character" w:customStyle="1" w:styleId="Policepardfaut1">
    <w:name w:val="Police par défaut1"/>
    <w:rsid w:val="00167734"/>
  </w:style>
  <w:style w:type="paragraph" w:customStyle="1" w:styleId="Titre10">
    <w:name w:val="Titre1"/>
    <w:basedOn w:val="Normal"/>
    <w:next w:val="Corpsdetexte"/>
    <w:rsid w:val="00167734"/>
    <w:pPr>
      <w:keepNext/>
      <w:spacing w:before="240" w:after="120"/>
    </w:pPr>
    <w:rPr>
      <w:rFonts w:ascii="Arial" w:eastAsia="Arial Unicode MS" w:hAnsi="Arial" w:cs="Arial Unicode MS"/>
      <w:sz w:val="28"/>
      <w:szCs w:val="28"/>
    </w:rPr>
  </w:style>
  <w:style w:type="paragraph" w:styleId="Corpsdetexte">
    <w:name w:val="Body Text"/>
    <w:basedOn w:val="Normal"/>
    <w:rsid w:val="00167734"/>
    <w:pPr>
      <w:spacing w:after="120"/>
    </w:pPr>
  </w:style>
  <w:style w:type="paragraph" w:styleId="Liste">
    <w:name w:val="List"/>
    <w:basedOn w:val="Corpsdetexte"/>
    <w:rsid w:val="00167734"/>
  </w:style>
  <w:style w:type="paragraph" w:customStyle="1" w:styleId="Lgende1">
    <w:name w:val="Légende1"/>
    <w:basedOn w:val="Normal"/>
    <w:rsid w:val="00167734"/>
    <w:pPr>
      <w:suppressLineNumbers/>
      <w:spacing w:before="120" w:after="120"/>
    </w:pPr>
    <w:rPr>
      <w:i/>
      <w:iCs/>
      <w:szCs w:val="24"/>
    </w:rPr>
  </w:style>
  <w:style w:type="paragraph" w:customStyle="1" w:styleId="Index">
    <w:name w:val="Index"/>
    <w:basedOn w:val="Normal"/>
    <w:rsid w:val="00167734"/>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 w:type="paragraph" w:styleId="Paragraphedeliste">
    <w:name w:val="List Paragraph"/>
    <w:basedOn w:val="Normal"/>
    <w:uiPriority w:val="34"/>
    <w:qFormat/>
    <w:rsid w:val="006E3450"/>
    <w:pPr>
      <w:widowControl/>
      <w:suppressAutoHyphens w:val="0"/>
      <w:spacing w:after="200" w:line="276" w:lineRule="auto"/>
      <w:ind w:left="720"/>
      <w:contextualSpacing/>
    </w:pPr>
    <w:rPr>
      <w:rFonts w:ascii="Calibri" w:eastAsia="Times New Roman" w:hAnsi="Calibri" w:cs="Times New Roman"/>
      <w:sz w:val="22"/>
      <w:szCs w:val="22"/>
      <w:lang w:val="fr-FR" w:eastAsia="fr-FR" w:bidi="ar-SA"/>
    </w:rPr>
  </w:style>
  <w:style w:type="character" w:styleId="Lienhypertexte">
    <w:name w:val="Hyperlink"/>
    <w:basedOn w:val="Policepardfaut"/>
    <w:uiPriority w:val="99"/>
    <w:unhideWhenUsed/>
    <w:rsid w:val="00362E07"/>
    <w:rPr>
      <w:color w:val="0000FF"/>
      <w:u w:val="single"/>
    </w:rPr>
  </w:style>
  <w:style w:type="paragraph" w:customStyle="1" w:styleId="Default">
    <w:name w:val="Default"/>
    <w:rsid w:val="00362E07"/>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uiPriority w:val="99"/>
    <w:semiHidden/>
    <w:unhideWhenUsed/>
    <w:rsid w:val="00362E0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viedesidees.fr/Rechauffement-climatique-concili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Links>
    <vt:vector size="6" baseType="variant">
      <vt:variant>
        <vt:i4>2883701</vt:i4>
      </vt:variant>
      <vt:variant>
        <vt:i4>0</vt:i4>
      </vt:variant>
      <vt:variant>
        <vt:i4>0</vt:i4>
      </vt:variant>
      <vt:variant>
        <vt:i4>5</vt:i4>
      </vt:variant>
      <vt:variant>
        <vt:lpwstr>http://www.laviedesidees.fr/Rechauffement-climatique-concilier.html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3</cp:revision>
  <cp:lastPrinted>1601-01-01T00:00:00Z</cp:lastPrinted>
  <dcterms:created xsi:type="dcterms:W3CDTF">2014-02-24T12:57:00Z</dcterms:created>
  <dcterms:modified xsi:type="dcterms:W3CDTF">2014-03-17T09:47:00Z</dcterms:modified>
</cp:coreProperties>
</file>