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 w:type="dxa"/>
        <w:tblLayout w:type="fixed"/>
        <w:tblLook w:val="0000"/>
      </w:tblPr>
      <w:tblGrid>
        <w:gridCol w:w="2518"/>
        <w:gridCol w:w="4678"/>
        <w:gridCol w:w="2592"/>
      </w:tblGrid>
      <w:tr w:rsidR="0059387C">
        <w:tc>
          <w:tcPr>
            <w:tcW w:w="2518" w:type="dxa"/>
            <w:tcBorders>
              <w:top w:val="single" w:sz="4" w:space="0" w:color="000000"/>
              <w:left w:val="single" w:sz="4" w:space="0" w:color="000000"/>
              <w:bottom w:val="single" w:sz="4" w:space="0" w:color="000000"/>
            </w:tcBorders>
            <w:shd w:val="clear" w:color="auto" w:fill="auto"/>
          </w:tcPr>
          <w:p w:rsidR="0059387C" w:rsidRDefault="005E1B42">
            <w:pPr>
              <w:snapToGrid w:val="0"/>
              <w:rPr>
                <w:rFonts w:cs="Times New Roman"/>
                <w:b/>
                <w:sz w:val="22"/>
                <w:szCs w:val="22"/>
              </w:rPr>
            </w:pPr>
            <w:r>
              <w:rPr>
                <w:rFonts w:cs="Times New Roman"/>
                <w:b/>
                <w:sz w:val="22"/>
                <w:szCs w:val="22"/>
              </w:rPr>
              <w:t xml:space="preserve">Académie d'AMIENS Baccalauréat ES </w:t>
            </w:r>
          </w:p>
          <w:p w:rsidR="0059387C" w:rsidRDefault="005E1B42">
            <w:pPr>
              <w:rPr>
                <w:rFonts w:cs="Times New Roman"/>
                <w:b/>
                <w:sz w:val="22"/>
                <w:szCs w:val="22"/>
              </w:rPr>
            </w:pPr>
            <w:r>
              <w:rPr>
                <w:rFonts w:cs="Times New Roman"/>
                <w:b/>
                <w:sz w:val="22"/>
                <w:szCs w:val="22"/>
              </w:rPr>
              <w:t>Session 2014</w:t>
            </w:r>
          </w:p>
        </w:tc>
        <w:tc>
          <w:tcPr>
            <w:tcW w:w="4678" w:type="dxa"/>
            <w:tcBorders>
              <w:top w:val="single" w:sz="4" w:space="0" w:color="000000"/>
              <w:left w:val="single" w:sz="4" w:space="0" w:color="000000"/>
              <w:bottom w:val="single" w:sz="4" w:space="0" w:color="000000"/>
            </w:tcBorders>
            <w:shd w:val="clear" w:color="auto" w:fill="auto"/>
          </w:tcPr>
          <w:p w:rsidR="0059387C" w:rsidRDefault="005E1B42">
            <w:pPr>
              <w:snapToGrid w:val="0"/>
              <w:jc w:val="center"/>
              <w:rPr>
                <w:rFonts w:cs="Times New Roman"/>
                <w:b/>
                <w:sz w:val="22"/>
                <w:szCs w:val="22"/>
              </w:rPr>
            </w:pPr>
            <w:r>
              <w:rPr>
                <w:rFonts w:cs="Times New Roman"/>
                <w:b/>
                <w:sz w:val="22"/>
                <w:szCs w:val="22"/>
              </w:rPr>
              <w:t>Epreuve orale de Sciences économiques et sociales (Enseignement spécifique :</w:t>
            </w:r>
          </w:p>
          <w:p w:rsidR="0059387C" w:rsidRDefault="005E1B42">
            <w:pPr>
              <w:jc w:val="center"/>
              <w:rPr>
                <w:rFonts w:cs="Times New Roman"/>
                <w:b/>
                <w:sz w:val="22"/>
                <w:szCs w:val="22"/>
              </w:rPr>
            </w:pPr>
            <w:r>
              <w:rPr>
                <w:rFonts w:cs="Times New Roman"/>
                <w:b/>
                <w:sz w:val="22"/>
                <w:szCs w:val="22"/>
              </w:rPr>
              <w:t xml:space="preserve"> coefficient 7)</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59387C" w:rsidRDefault="005E1B42">
            <w:pPr>
              <w:snapToGrid w:val="0"/>
              <w:rPr>
                <w:rFonts w:cs="Times New Roman"/>
                <w:b/>
                <w:sz w:val="22"/>
                <w:szCs w:val="22"/>
              </w:rPr>
            </w:pPr>
            <w:r>
              <w:rPr>
                <w:rFonts w:cs="Times New Roman"/>
                <w:b/>
                <w:sz w:val="22"/>
                <w:szCs w:val="22"/>
              </w:rPr>
              <w:t xml:space="preserve">N° du sujet : </w:t>
            </w:r>
            <w:r w:rsidR="009B77D3">
              <w:rPr>
                <w:rFonts w:cs="Times New Roman"/>
                <w:b/>
                <w:sz w:val="22"/>
                <w:szCs w:val="22"/>
              </w:rPr>
              <w:t>14c7-1-12-</w:t>
            </w:r>
            <w:r w:rsidR="00C81B24">
              <w:rPr>
                <w:rFonts w:cs="Times New Roman"/>
                <w:b/>
                <w:sz w:val="22"/>
                <w:szCs w:val="22"/>
              </w:rPr>
              <w:t>2</w:t>
            </w:r>
          </w:p>
        </w:tc>
      </w:tr>
      <w:tr w:rsidR="0059387C">
        <w:tc>
          <w:tcPr>
            <w:tcW w:w="2518" w:type="dxa"/>
            <w:tcBorders>
              <w:top w:val="single" w:sz="4" w:space="0" w:color="000000"/>
              <w:left w:val="single" w:sz="4" w:space="0" w:color="000000"/>
              <w:bottom w:val="single" w:sz="4" w:space="0" w:color="000000"/>
            </w:tcBorders>
            <w:shd w:val="clear" w:color="auto" w:fill="auto"/>
          </w:tcPr>
          <w:p w:rsidR="0059387C" w:rsidRDefault="005E1B42">
            <w:pPr>
              <w:snapToGrid w:val="0"/>
              <w:rPr>
                <w:rFonts w:cs="Times New Roman"/>
                <w:sz w:val="22"/>
                <w:szCs w:val="22"/>
              </w:rPr>
            </w:pPr>
            <w:r>
              <w:rPr>
                <w:rFonts w:cs="Times New Roman"/>
                <w:sz w:val="22"/>
                <w:szCs w:val="22"/>
              </w:rPr>
              <w:t>Durée de la préparation : 30 minutes</w:t>
            </w:r>
          </w:p>
        </w:tc>
        <w:tc>
          <w:tcPr>
            <w:tcW w:w="4678" w:type="dxa"/>
            <w:tcBorders>
              <w:top w:val="single" w:sz="4" w:space="0" w:color="000000"/>
              <w:left w:val="single" w:sz="4" w:space="0" w:color="000000"/>
              <w:bottom w:val="single" w:sz="4" w:space="0" w:color="000000"/>
            </w:tcBorders>
            <w:shd w:val="clear" w:color="auto" w:fill="auto"/>
          </w:tcPr>
          <w:p w:rsidR="0059387C" w:rsidRDefault="005E1B42">
            <w:pPr>
              <w:snapToGrid w:val="0"/>
              <w:jc w:val="center"/>
              <w:rPr>
                <w:rFonts w:cs="Times New Roman"/>
                <w:b/>
                <w:sz w:val="22"/>
                <w:szCs w:val="22"/>
              </w:rPr>
            </w:pPr>
            <w:r>
              <w:rPr>
                <w:rFonts w:cs="Times New Roman"/>
                <w:b/>
                <w:sz w:val="22"/>
                <w:szCs w:val="22"/>
              </w:rPr>
              <w:t>Le candidat s’appuiera sur les 2 documents pour répondre à la question principale.</w:t>
            </w:r>
          </w:p>
          <w:p w:rsidR="0059387C" w:rsidRDefault="005E1B42">
            <w:pPr>
              <w:jc w:val="center"/>
              <w:rPr>
                <w:rFonts w:cs="Times New Roman"/>
                <w:b/>
                <w:sz w:val="22"/>
                <w:szCs w:val="22"/>
              </w:rPr>
            </w:pPr>
            <w:r>
              <w:rPr>
                <w:rFonts w:cs="Times New Roman"/>
                <w:b/>
                <w:sz w:val="22"/>
                <w:szCs w:val="22"/>
              </w:rPr>
              <w:t>Les questions complémentaires 2 et 3 porteront sur d’autres thèmes du programme</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59387C" w:rsidRDefault="005E1B42">
            <w:pPr>
              <w:snapToGrid w:val="0"/>
              <w:rPr>
                <w:rFonts w:cs="Times New Roman"/>
                <w:sz w:val="22"/>
                <w:szCs w:val="22"/>
              </w:rPr>
            </w:pPr>
            <w:r>
              <w:rPr>
                <w:rFonts w:cs="Times New Roman"/>
                <w:sz w:val="22"/>
                <w:szCs w:val="22"/>
              </w:rPr>
              <w:t>Durée de l'interrogation : 20 minutes</w:t>
            </w:r>
          </w:p>
        </w:tc>
      </w:tr>
      <w:tr w:rsidR="0059387C">
        <w:tc>
          <w:tcPr>
            <w:tcW w:w="9788" w:type="dxa"/>
            <w:gridSpan w:val="3"/>
            <w:tcBorders>
              <w:top w:val="single" w:sz="4" w:space="0" w:color="000000"/>
              <w:left w:val="single" w:sz="4" w:space="0" w:color="000000"/>
              <w:bottom w:val="single" w:sz="4" w:space="0" w:color="000000"/>
              <w:right w:val="single" w:sz="4" w:space="0" w:color="000000"/>
            </w:tcBorders>
            <w:shd w:val="clear" w:color="auto" w:fill="auto"/>
          </w:tcPr>
          <w:p w:rsidR="0059387C" w:rsidRDefault="005E1B42">
            <w:pPr>
              <w:snapToGrid w:val="0"/>
              <w:rPr>
                <w:rFonts w:cs="Times New Roman"/>
                <w:b/>
                <w:sz w:val="22"/>
                <w:szCs w:val="22"/>
              </w:rPr>
            </w:pPr>
            <w:r>
              <w:rPr>
                <w:rFonts w:cs="Times New Roman"/>
                <w:b/>
                <w:sz w:val="22"/>
                <w:szCs w:val="22"/>
              </w:rPr>
              <w:t xml:space="preserve">Thème de la question principale : </w:t>
            </w:r>
            <w:r w:rsidR="009B77D3">
              <w:rPr>
                <w:rFonts w:cs="Times New Roman"/>
                <w:b/>
                <w:sz w:val="22"/>
                <w:szCs w:val="22"/>
              </w:rPr>
              <w:t>Comment peut-on expliquer les fluctuations de la croissance économique ?</w:t>
            </w:r>
          </w:p>
        </w:tc>
      </w:tr>
      <w:tr w:rsidR="0059387C" w:rsidRPr="00166EFE">
        <w:tc>
          <w:tcPr>
            <w:tcW w:w="9788" w:type="dxa"/>
            <w:gridSpan w:val="3"/>
            <w:tcBorders>
              <w:top w:val="single" w:sz="4" w:space="0" w:color="000000"/>
              <w:left w:val="single" w:sz="4" w:space="0" w:color="000000"/>
              <w:bottom w:val="single" w:sz="4" w:space="0" w:color="000000"/>
              <w:right w:val="single" w:sz="4" w:space="0" w:color="000000"/>
            </w:tcBorders>
            <w:shd w:val="clear" w:color="auto" w:fill="auto"/>
          </w:tcPr>
          <w:p w:rsidR="0059387C" w:rsidRPr="00166EFE" w:rsidRDefault="005E1B42">
            <w:pPr>
              <w:snapToGrid w:val="0"/>
              <w:rPr>
                <w:rFonts w:cs="Times New Roman"/>
                <w:b/>
                <w:sz w:val="22"/>
                <w:szCs w:val="22"/>
              </w:rPr>
            </w:pPr>
            <w:r w:rsidRPr="00166EFE">
              <w:rPr>
                <w:rFonts w:cs="Times New Roman"/>
                <w:b/>
                <w:sz w:val="22"/>
                <w:szCs w:val="22"/>
              </w:rPr>
              <w:t>Question p</w:t>
            </w:r>
            <w:r w:rsidR="00685F12">
              <w:rPr>
                <w:rFonts w:cs="Times New Roman"/>
                <w:b/>
                <w:sz w:val="22"/>
                <w:szCs w:val="22"/>
              </w:rPr>
              <w:t>rincipale (sur 10 points) : V</w:t>
            </w:r>
            <w:r w:rsidRPr="00166EFE">
              <w:rPr>
                <w:rFonts w:cs="Times New Roman"/>
                <w:b/>
                <w:sz w:val="22"/>
                <w:szCs w:val="22"/>
              </w:rPr>
              <w:t>ous montrerez comment la</w:t>
            </w:r>
            <w:r w:rsidR="00685F12">
              <w:rPr>
                <w:rFonts w:cs="Times New Roman"/>
                <w:b/>
                <w:sz w:val="22"/>
                <w:szCs w:val="22"/>
              </w:rPr>
              <w:t xml:space="preserve"> politique budgétaire peut </w:t>
            </w:r>
            <w:r w:rsidRPr="00166EFE">
              <w:rPr>
                <w:rFonts w:cs="Times New Roman"/>
                <w:b/>
                <w:sz w:val="22"/>
                <w:szCs w:val="22"/>
              </w:rPr>
              <w:t>relancer la croissance</w:t>
            </w:r>
            <w:r w:rsidR="00685F12">
              <w:rPr>
                <w:rFonts w:cs="Times New Roman"/>
                <w:b/>
                <w:sz w:val="22"/>
                <w:szCs w:val="22"/>
              </w:rPr>
              <w:t xml:space="preserve"> économique.</w:t>
            </w:r>
          </w:p>
        </w:tc>
      </w:tr>
      <w:tr w:rsidR="0059387C">
        <w:tc>
          <w:tcPr>
            <w:tcW w:w="9788" w:type="dxa"/>
            <w:gridSpan w:val="3"/>
            <w:tcBorders>
              <w:top w:val="single" w:sz="4" w:space="0" w:color="000000"/>
              <w:left w:val="single" w:sz="4" w:space="0" w:color="000000"/>
              <w:bottom w:val="single" w:sz="4" w:space="0" w:color="000000"/>
              <w:right w:val="single" w:sz="4" w:space="0" w:color="000000"/>
            </w:tcBorders>
            <w:shd w:val="clear" w:color="auto" w:fill="auto"/>
          </w:tcPr>
          <w:p w:rsidR="0059387C" w:rsidRDefault="005E1B42">
            <w:pPr>
              <w:snapToGrid w:val="0"/>
              <w:rPr>
                <w:rFonts w:cs="Times New Roman"/>
                <w:b/>
                <w:sz w:val="22"/>
                <w:szCs w:val="22"/>
              </w:rPr>
            </w:pPr>
            <w:r>
              <w:rPr>
                <w:rFonts w:cs="Times New Roman"/>
                <w:b/>
                <w:sz w:val="22"/>
                <w:szCs w:val="22"/>
              </w:rPr>
              <w:t>Questions complémentaires (sur 10 points) :</w:t>
            </w:r>
          </w:p>
        </w:tc>
      </w:tr>
      <w:tr w:rsidR="0059387C">
        <w:tc>
          <w:tcPr>
            <w:tcW w:w="9788" w:type="dxa"/>
            <w:gridSpan w:val="3"/>
            <w:tcBorders>
              <w:top w:val="single" w:sz="4" w:space="0" w:color="000000"/>
              <w:left w:val="single" w:sz="4" w:space="0" w:color="000000"/>
              <w:bottom w:val="single" w:sz="4" w:space="0" w:color="000000"/>
              <w:right w:val="single" w:sz="4" w:space="0" w:color="000000"/>
            </w:tcBorders>
            <w:shd w:val="clear" w:color="auto" w:fill="auto"/>
          </w:tcPr>
          <w:p w:rsidR="0059387C" w:rsidRDefault="005E1B42">
            <w:pPr>
              <w:snapToGrid w:val="0"/>
              <w:ind w:left="567"/>
              <w:jc w:val="both"/>
              <w:rPr>
                <w:rFonts w:cs="Times New Roman"/>
                <w:sz w:val="22"/>
                <w:szCs w:val="22"/>
              </w:rPr>
            </w:pPr>
            <w:r>
              <w:rPr>
                <w:rFonts w:cs="Times New Roman"/>
                <w:sz w:val="22"/>
                <w:szCs w:val="22"/>
              </w:rPr>
              <w:t>1) En vous appuyant sur le document 2, montrez que les politiques de relance ont joué un rôle important dans la lutte contre la crise de 2008.</w:t>
            </w:r>
            <w:r w:rsidR="009B77D3">
              <w:rPr>
                <w:rFonts w:cs="Times New Roman"/>
                <w:sz w:val="22"/>
                <w:szCs w:val="22"/>
              </w:rPr>
              <w:t xml:space="preserve"> (4 points)</w:t>
            </w:r>
          </w:p>
        </w:tc>
      </w:tr>
      <w:tr w:rsidR="0059387C">
        <w:tc>
          <w:tcPr>
            <w:tcW w:w="9788" w:type="dxa"/>
            <w:gridSpan w:val="3"/>
            <w:tcBorders>
              <w:top w:val="single" w:sz="4" w:space="0" w:color="000000"/>
              <w:left w:val="single" w:sz="4" w:space="0" w:color="000000"/>
              <w:bottom w:val="single" w:sz="4" w:space="0" w:color="000000"/>
              <w:right w:val="single" w:sz="4" w:space="0" w:color="000000"/>
            </w:tcBorders>
            <w:shd w:val="clear" w:color="auto" w:fill="auto"/>
          </w:tcPr>
          <w:p w:rsidR="0059387C" w:rsidRDefault="005E1B42">
            <w:pPr>
              <w:snapToGrid w:val="0"/>
              <w:ind w:left="567"/>
              <w:jc w:val="both"/>
              <w:rPr>
                <w:rFonts w:cs="Times New Roman"/>
                <w:sz w:val="22"/>
                <w:szCs w:val="22"/>
              </w:rPr>
            </w:pPr>
            <w:r>
              <w:rPr>
                <w:rFonts w:cs="Times New Roman"/>
                <w:sz w:val="22"/>
                <w:szCs w:val="22"/>
              </w:rPr>
              <w:t>2) En quoi l’approche des classes sociales chez Karl Marx est-elle différente de celle de Max Weber ?</w:t>
            </w:r>
            <w:r w:rsidR="009B77D3">
              <w:rPr>
                <w:rFonts w:cs="Times New Roman"/>
                <w:sz w:val="22"/>
                <w:szCs w:val="22"/>
              </w:rPr>
              <w:t xml:space="preserve"> </w:t>
            </w:r>
          </w:p>
          <w:p w:rsidR="009B77D3" w:rsidRDefault="009B77D3">
            <w:pPr>
              <w:snapToGrid w:val="0"/>
              <w:ind w:left="567"/>
              <w:jc w:val="both"/>
              <w:rPr>
                <w:rFonts w:cs="Times New Roman"/>
                <w:sz w:val="22"/>
                <w:szCs w:val="22"/>
              </w:rPr>
            </w:pPr>
            <w:r>
              <w:rPr>
                <w:rFonts w:cs="Times New Roman"/>
                <w:sz w:val="22"/>
                <w:szCs w:val="22"/>
              </w:rPr>
              <w:t xml:space="preserve">    (3 points)</w:t>
            </w:r>
          </w:p>
        </w:tc>
      </w:tr>
      <w:tr w:rsidR="0059387C">
        <w:tc>
          <w:tcPr>
            <w:tcW w:w="9788" w:type="dxa"/>
            <w:gridSpan w:val="3"/>
            <w:tcBorders>
              <w:top w:val="single" w:sz="4" w:space="0" w:color="000000"/>
              <w:left w:val="single" w:sz="4" w:space="0" w:color="000000"/>
              <w:bottom w:val="single" w:sz="4" w:space="0" w:color="000000"/>
              <w:right w:val="single" w:sz="4" w:space="0" w:color="000000"/>
            </w:tcBorders>
            <w:shd w:val="clear" w:color="auto" w:fill="auto"/>
          </w:tcPr>
          <w:p w:rsidR="0059387C" w:rsidRDefault="005E1B42">
            <w:pPr>
              <w:snapToGrid w:val="0"/>
              <w:ind w:left="567"/>
              <w:jc w:val="both"/>
              <w:rPr>
                <w:rFonts w:cs="Times New Roman"/>
                <w:sz w:val="22"/>
                <w:szCs w:val="22"/>
              </w:rPr>
            </w:pPr>
            <w:r>
              <w:rPr>
                <w:rFonts w:cs="Times New Roman"/>
                <w:sz w:val="22"/>
                <w:szCs w:val="22"/>
              </w:rPr>
              <w:t>3) Comment peut-on expliquer l'inflation ?</w:t>
            </w:r>
            <w:r w:rsidR="009B77D3">
              <w:rPr>
                <w:rFonts w:cs="Times New Roman"/>
                <w:sz w:val="22"/>
                <w:szCs w:val="22"/>
              </w:rPr>
              <w:t xml:space="preserve"> (3 points)</w:t>
            </w:r>
          </w:p>
        </w:tc>
      </w:tr>
    </w:tbl>
    <w:p w:rsidR="0059387C" w:rsidRDefault="0059387C">
      <w:pPr>
        <w:sectPr w:rsidR="0059387C">
          <w:pgSz w:w="11906" w:h="16838"/>
          <w:pgMar w:top="1134" w:right="1134" w:bottom="1134" w:left="1134" w:header="720" w:footer="720" w:gutter="0"/>
          <w:cols w:space="720"/>
          <w:docGrid w:linePitch="360"/>
        </w:sectPr>
      </w:pPr>
    </w:p>
    <w:p w:rsidR="0059387C" w:rsidRPr="009B77D3" w:rsidRDefault="005E1B42">
      <w:pPr>
        <w:pStyle w:val="Corpsdetexte"/>
        <w:jc w:val="both"/>
        <w:rPr>
          <w:rStyle w:val="lev"/>
          <w:color w:val="000000"/>
          <w:sz w:val="22"/>
          <w:szCs w:val="22"/>
        </w:rPr>
      </w:pPr>
      <w:r w:rsidRPr="009B77D3">
        <w:rPr>
          <w:rStyle w:val="lev"/>
          <w:color w:val="000000"/>
          <w:sz w:val="22"/>
          <w:szCs w:val="22"/>
        </w:rPr>
        <w:lastRenderedPageBreak/>
        <w:t xml:space="preserve">Doc 1 </w:t>
      </w:r>
    </w:p>
    <w:p w:rsidR="0059387C" w:rsidRPr="009B77D3" w:rsidRDefault="005E1B42">
      <w:pPr>
        <w:pStyle w:val="Corpsdetexte"/>
        <w:jc w:val="both"/>
        <w:rPr>
          <w:color w:val="000000"/>
          <w:sz w:val="22"/>
          <w:szCs w:val="22"/>
        </w:rPr>
      </w:pPr>
      <w:r w:rsidRPr="009B77D3">
        <w:rPr>
          <w:rStyle w:val="lev"/>
          <w:b w:val="0"/>
          <w:bCs w:val="0"/>
          <w:color w:val="000000"/>
          <w:sz w:val="22"/>
          <w:szCs w:val="22"/>
        </w:rPr>
        <w:t>Le plan de relance annoncé le 4 décembre 2008</w:t>
      </w:r>
      <w:r w:rsidRPr="009B77D3">
        <w:rPr>
          <w:color w:val="000000"/>
          <w:sz w:val="22"/>
          <w:szCs w:val="22"/>
        </w:rPr>
        <w:t xml:space="preserve"> par le Président de la République assume par contre une augmentation de la dépense publique évaluée à 26 milliards d’euros sur deux ans. Les principales mesures annoncées portent sur :</w:t>
      </w:r>
    </w:p>
    <w:p w:rsidR="0059387C" w:rsidRPr="009B77D3" w:rsidRDefault="005E1B42">
      <w:pPr>
        <w:pStyle w:val="Corpsdetexte"/>
        <w:numPr>
          <w:ilvl w:val="0"/>
          <w:numId w:val="1"/>
        </w:numPr>
        <w:tabs>
          <w:tab w:val="left" w:pos="0"/>
        </w:tabs>
        <w:spacing w:after="0"/>
        <w:jc w:val="both"/>
        <w:rPr>
          <w:color w:val="000000"/>
          <w:sz w:val="22"/>
          <w:szCs w:val="22"/>
        </w:rPr>
      </w:pPr>
      <w:r w:rsidRPr="009B77D3">
        <w:rPr>
          <w:color w:val="000000"/>
          <w:sz w:val="22"/>
          <w:szCs w:val="22"/>
        </w:rPr>
        <w:t>l’accélération des investissements publics : 4 milliards supplémentaires pour le développement des réseaux des grandes entreprises publiques (ferroviaire, énergétique, postal), 4 milliards d’investissements directs de l’Etat dans des secteurs "stratégiques (défense, enseignement supérieur et recherche,</w:t>
      </w:r>
    </w:p>
    <w:p w:rsidR="0059387C" w:rsidRPr="009B77D3" w:rsidRDefault="005E1B42">
      <w:pPr>
        <w:pStyle w:val="Corpsdetexte"/>
        <w:numPr>
          <w:ilvl w:val="0"/>
          <w:numId w:val="1"/>
        </w:numPr>
        <w:tabs>
          <w:tab w:val="left" w:pos="0"/>
        </w:tabs>
        <w:spacing w:after="0"/>
        <w:jc w:val="both"/>
        <w:rPr>
          <w:color w:val="000000"/>
          <w:sz w:val="22"/>
          <w:szCs w:val="22"/>
        </w:rPr>
      </w:pPr>
      <w:r w:rsidRPr="009B77D3">
        <w:rPr>
          <w:color w:val="000000"/>
          <w:sz w:val="22"/>
          <w:szCs w:val="22"/>
        </w:rPr>
        <w:t xml:space="preserve">l’emploi et le pouvoir d’achat : exonération de charges pour les entreprises de moins de 10 salariés qui embaucheront en 2009, versement d’une prime exceptionnelle de 200 euros pour les bénéficiaires du RSA, amélioration de l’indemnisation du chômage, </w:t>
      </w:r>
    </w:p>
    <w:p w:rsidR="0059387C" w:rsidRPr="009B77D3" w:rsidRDefault="005E1B42">
      <w:pPr>
        <w:pStyle w:val="Corpsdetexte"/>
        <w:numPr>
          <w:ilvl w:val="0"/>
          <w:numId w:val="1"/>
        </w:numPr>
        <w:tabs>
          <w:tab w:val="left" w:pos="0"/>
        </w:tabs>
        <w:spacing w:after="0"/>
        <w:jc w:val="both"/>
        <w:rPr>
          <w:color w:val="000000"/>
          <w:sz w:val="22"/>
          <w:szCs w:val="22"/>
        </w:rPr>
      </w:pPr>
      <w:r w:rsidRPr="009B77D3">
        <w:rPr>
          <w:color w:val="000000"/>
          <w:sz w:val="22"/>
          <w:szCs w:val="22"/>
        </w:rPr>
        <w:t xml:space="preserve">le logement : doublement du montant du prêt à taux zéro pour l’achat d’un logement neuf, achat ou construction par l’Etat de 100 000 logements sociaux sur la période 2009-2010, </w:t>
      </w:r>
    </w:p>
    <w:p w:rsidR="0059387C" w:rsidRPr="009B77D3" w:rsidRDefault="005E1B42">
      <w:pPr>
        <w:pStyle w:val="Corpsdetexte"/>
        <w:numPr>
          <w:ilvl w:val="0"/>
          <w:numId w:val="1"/>
        </w:numPr>
        <w:tabs>
          <w:tab w:val="left" w:pos="0"/>
        </w:tabs>
        <w:spacing w:after="0"/>
        <w:jc w:val="both"/>
        <w:rPr>
          <w:color w:val="000000"/>
          <w:sz w:val="22"/>
          <w:szCs w:val="22"/>
        </w:rPr>
      </w:pPr>
      <w:r w:rsidRPr="009B77D3">
        <w:rPr>
          <w:color w:val="000000"/>
          <w:sz w:val="22"/>
          <w:szCs w:val="22"/>
        </w:rPr>
        <w:t>le soutien à l’industrie automobile : passage à 1000 euros de la prime à la destruction d’un véhicule de plus de 10 ans en cas d’achat d’un véhicule neuf peu polluant (...),</w:t>
      </w:r>
    </w:p>
    <w:p w:rsidR="0059387C" w:rsidRDefault="005E1B42">
      <w:pPr>
        <w:pStyle w:val="Corpsdetexte"/>
        <w:numPr>
          <w:ilvl w:val="0"/>
          <w:numId w:val="1"/>
        </w:numPr>
        <w:tabs>
          <w:tab w:val="left" w:pos="0"/>
        </w:tabs>
        <w:jc w:val="both"/>
        <w:rPr>
          <w:color w:val="000000"/>
        </w:rPr>
      </w:pPr>
      <w:r w:rsidRPr="009B77D3">
        <w:rPr>
          <w:color w:val="000000"/>
          <w:sz w:val="22"/>
          <w:szCs w:val="22"/>
        </w:rPr>
        <w:t>des mesures en direction des entreprises : remboursement par anticipation des dettes aux entreprises, versement par l’Etat d’un acompte de 20% au lieu de 5% lors de la passation</w:t>
      </w:r>
      <w:r>
        <w:rPr>
          <w:color w:val="000000"/>
        </w:rPr>
        <w:t xml:space="preserve"> d’un marché public.</w:t>
      </w:r>
    </w:p>
    <w:p w:rsidR="0059387C" w:rsidRDefault="009B77D3">
      <w:pPr>
        <w:pStyle w:val="Corpsdetexte"/>
        <w:jc w:val="both"/>
        <w:rPr>
          <w:color w:val="000000"/>
          <w:sz w:val="18"/>
          <w:szCs w:val="18"/>
        </w:rPr>
        <w:sectPr w:rsidR="0059387C">
          <w:type w:val="continuous"/>
          <w:pgSz w:w="11906" w:h="16838"/>
          <w:pgMar w:top="1134" w:right="1134" w:bottom="1134" w:left="1134" w:header="720" w:footer="720" w:gutter="0"/>
          <w:cols w:space="720"/>
          <w:docGrid w:linePitch="360"/>
        </w:sectPr>
      </w:pPr>
      <w:r>
        <w:rPr>
          <w:color w:val="000000"/>
          <w:u w:val="single"/>
        </w:rPr>
        <w:t>Source </w:t>
      </w:r>
      <w:proofErr w:type="gramStart"/>
      <w:r>
        <w:rPr>
          <w:color w:val="000000"/>
          <w:u w:val="single"/>
        </w:rPr>
        <w:t>:</w:t>
      </w:r>
      <w:r w:rsidR="005E1B42">
        <w:rPr>
          <w:color w:val="000000"/>
          <w:sz w:val="18"/>
          <w:szCs w:val="18"/>
        </w:rPr>
        <w:t>http</w:t>
      </w:r>
      <w:proofErr w:type="gramEnd"/>
      <w:r w:rsidR="005E1B42">
        <w:rPr>
          <w:color w:val="000000"/>
          <w:sz w:val="18"/>
          <w:szCs w:val="18"/>
        </w:rPr>
        <w:t>://www.vie-publique.fr/actualite/dossier/plf-2009/budget-2009</w:t>
      </w:r>
    </w:p>
    <w:p w:rsidR="0059387C" w:rsidRDefault="005E1B42">
      <w:pPr>
        <w:pStyle w:val="Corpsdetexte"/>
        <w:jc w:val="both"/>
        <w:rPr>
          <w:b/>
          <w:bCs/>
          <w:color w:val="000000"/>
        </w:rPr>
      </w:pPr>
      <w:r>
        <w:rPr>
          <w:b/>
          <w:bCs/>
          <w:color w:val="000000"/>
        </w:rPr>
        <w:lastRenderedPageBreak/>
        <w:t>Doc 2 : Evolutions comparées du PIB français</w:t>
      </w:r>
      <w:r w:rsidR="009B77D3">
        <w:rPr>
          <w:b/>
          <w:bCs/>
          <w:color w:val="000000"/>
        </w:rPr>
        <w:t xml:space="preserve"> par tête pendant les crises</w:t>
      </w:r>
    </w:p>
    <w:p w:rsidR="009B77D3" w:rsidRDefault="00B828F3" w:rsidP="000B5F52">
      <w:pPr>
        <w:jc w:val="center"/>
        <w:rPr>
          <w:color w:val="000000"/>
        </w:rPr>
      </w:pPr>
      <w:r w:rsidRPr="00B828F3">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15pt;height:174.55pt" o:bordertopcolor="navy" o:borderleftcolor="navy" o:borderbottomcolor="navy" o:borderrightcolor="navy" filled="t">
            <v:fill color2="black"/>
            <v:imagedata r:id="rId5" o:title=""/>
            <w10:bordertop type="single" width="8"/>
            <w10:borderleft type="single" width="8"/>
            <w10:borderbottom type="single" width="8"/>
            <w10:borderright type="single" width="8"/>
          </v:shape>
        </w:pict>
      </w:r>
    </w:p>
    <w:p w:rsidR="0059387C" w:rsidRDefault="009B77D3" w:rsidP="009B77D3">
      <w:pPr>
        <w:pStyle w:val="Corpsdetexte"/>
      </w:pPr>
      <w:r>
        <w:rPr>
          <w:color w:val="000000"/>
        </w:rPr>
        <w:t>Source </w:t>
      </w:r>
      <w:r w:rsidR="005E1B42">
        <w:rPr>
          <w:color w:val="000000"/>
        </w:rPr>
        <w:t xml:space="preserve">: </w:t>
      </w:r>
      <w:r w:rsidR="005E1B42">
        <w:t>Comptabilité nationale, P. Villa, calculs et prévision OFCE avril 2013</w:t>
      </w:r>
    </w:p>
    <w:p w:rsidR="000B5F52" w:rsidRDefault="000B5F52" w:rsidP="009B77D3">
      <w:pPr>
        <w:pStyle w:val="Corpsdetexte"/>
      </w:pPr>
    </w:p>
    <w:p w:rsidR="000B5F52" w:rsidRDefault="000B5F52" w:rsidP="009B77D3">
      <w:pPr>
        <w:pStyle w:val="Corpsdetexte"/>
        <w:sectPr w:rsidR="000B5F52">
          <w:type w:val="continuous"/>
          <w:pgSz w:w="11906" w:h="16838"/>
          <w:pgMar w:top="1134" w:right="1134" w:bottom="1134" w:left="1134" w:header="720" w:footer="720" w:gutter="0"/>
          <w:cols w:space="720"/>
          <w:docGrid w:linePitch="360"/>
        </w:sectPr>
      </w:pPr>
    </w:p>
    <w:p w:rsidR="00F33600" w:rsidRPr="000B5F52" w:rsidRDefault="000B5F52" w:rsidP="000B5F52">
      <w:pPr>
        <w:pStyle w:val="Pieddepage"/>
        <w:jc w:val="center"/>
        <w:rPr>
          <w:rFonts w:ascii="Arial" w:hAnsi="Arial"/>
          <w:sz w:val="20"/>
          <w:lang w:val="fr-FR"/>
        </w:rPr>
      </w:pPr>
      <w:r w:rsidRPr="009C711D">
        <w:rPr>
          <w:rFonts w:ascii="Arial" w:hAnsi="Arial"/>
          <w:sz w:val="20"/>
          <w:lang w:val="fr-FR"/>
        </w:rPr>
        <w:lastRenderedPageBreak/>
        <w:t>N'écrivez pas sur ce sujet, que vous devrez rendre en fin d'interrogation</w:t>
      </w:r>
    </w:p>
    <w:sectPr w:rsidR="00F33600" w:rsidRPr="000B5F52" w:rsidSect="0059387C">
      <w:type w:val="continuous"/>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2"/>
    <w:lvl w:ilvl="0">
      <w:start w:val="3"/>
      <w:numFmt w:val="decimal"/>
      <w:lvlText w:val="%1)"/>
      <w:lvlJc w:val="left"/>
      <w:pPr>
        <w:tabs>
          <w:tab w:val="num" w:pos="0"/>
        </w:tabs>
        <w:ind w:left="720" w:hanging="36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1B42"/>
    <w:rsid w:val="000B5F52"/>
    <w:rsid w:val="00166EFE"/>
    <w:rsid w:val="0059387C"/>
    <w:rsid w:val="005E1B42"/>
    <w:rsid w:val="00685F12"/>
    <w:rsid w:val="009B77D3"/>
    <w:rsid w:val="00B828F3"/>
    <w:rsid w:val="00C81B24"/>
    <w:rsid w:val="00CA6EC8"/>
    <w:rsid w:val="00F33600"/>
    <w:rsid w:val="00FF1F7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87C"/>
    <w:pPr>
      <w:widowControl w:val="0"/>
      <w:suppressAutoHyphens/>
    </w:pPr>
    <w:rPr>
      <w:rFonts w:eastAsia="Arial Unicode MS" w:cs="Tahoma"/>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59387C"/>
  </w:style>
  <w:style w:type="character" w:styleId="lev">
    <w:name w:val="Strong"/>
    <w:qFormat/>
    <w:rsid w:val="0059387C"/>
    <w:rPr>
      <w:b/>
      <w:bCs/>
    </w:rPr>
  </w:style>
  <w:style w:type="character" w:customStyle="1" w:styleId="Puces">
    <w:name w:val="Puces"/>
    <w:rsid w:val="0059387C"/>
    <w:rPr>
      <w:rFonts w:ascii="OpenSymbol" w:eastAsia="OpenSymbol" w:hAnsi="OpenSymbol" w:cs="OpenSymbol"/>
    </w:rPr>
  </w:style>
  <w:style w:type="character" w:styleId="Lienhypertexte">
    <w:name w:val="Hyperlink"/>
    <w:rsid w:val="0059387C"/>
    <w:rPr>
      <w:color w:val="000080"/>
      <w:u w:val="single"/>
    </w:rPr>
  </w:style>
  <w:style w:type="paragraph" w:customStyle="1" w:styleId="Titre1">
    <w:name w:val="Titre1"/>
    <w:basedOn w:val="Normal"/>
    <w:next w:val="Corpsdetexte"/>
    <w:rsid w:val="0059387C"/>
    <w:pPr>
      <w:keepNext/>
      <w:spacing w:before="240" w:after="120"/>
    </w:pPr>
    <w:rPr>
      <w:rFonts w:ascii="Arial" w:hAnsi="Arial"/>
      <w:sz w:val="28"/>
      <w:szCs w:val="28"/>
    </w:rPr>
  </w:style>
  <w:style w:type="paragraph" w:styleId="Corpsdetexte">
    <w:name w:val="Body Text"/>
    <w:basedOn w:val="Normal"/>
    <w:rsid w:val="0059387C"/>
    <w:pPr>
      <w:spacing w:after="120"/>
    </w:pPr>
  </w:style>
  <w:style w:type="paragraph" w:styleId="Liste">
    <w:name w:val="List"/>
    <w:basedOn w:val="Corpsdetexte"/>
    <w:rsid w:val="0059387C"/>
  </w:style>
  <w:style w:type="paragraph" w:customStyle="1" w:styleId="Lgende1">
    <w:name w:val="Légende1"/>
    <w:basedOn w:val="Normal"/>
    <w:rsid w:val="0059387C"/>
    <w:pPr>
      <w:suppressLineNumbers/>
      <w:spacing w:before="120" w:after="120"/>
    </w:pPr>
    <w:rPr>
      <w:i/>
      <w:iCs/>
    </w:rPr>
  </w:style>
  <w:style w:type="paragraph" w:customStyle="1" w:styleId="Index">
    <w:name w:val="Index"/>
    <w:basedOn w:val="Normal"/>
    <w:rsid w:val="0059387C"/>
    <w:pPr>
      <w:suppressLineNumbers/>
    </w:pPr>
  </w:style>
  <w:style w:type="paragraph" w:styleId="Pieddepage">
    <w:name w:val="footer"/>
    <w:basedOn w:val="Normal"/>
    <w:link w:val="PieddepageCar"/>
    <w:unhideWhenUsed/>
    <w:rsid w:val="000B5F52"/>
    <w:pPr>
      <w:tabs>
        <w:tab w:val="center" w:pos="4536"/>
        <w:tab w:val="right" w:pos="9072"/>
      </w:tabs>
    </w:pPr>
    <w:rPr>
      <w:rFonts w:ascii="Helvetica" w:eastAsia="Helvetica" w:hAnsi="Helvetica" w:cs="Mangal"/>
      <w:kern w:val="0"/>
      <w:szCs w:val="20"/>
      <w:lang w:val="en-US"/>
    </w:rPr>
  </w:style>
  <w:style w:type="character" w:customStyle="1" w:styleId="PieddepageCar">
    <w:name w:val="Pied de page Car"/>
    <w:basedOn w:val="Policepardfaut"/>
    <w:link w:val="Pieddepage"/>
    <w:rsid w:val="000B5F52"/>
    <w:rPr>
      <w:rFonts w:ascii="Helvetica" w:eastAsia="Helvetica" w:hAnsi="Helvetica" w:cs="Mangal"/>
      <w:sz w:val="24"/>
      <w:lang w:val="en-US"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410</Words>
  <Characters>2256</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dc:creator>
  <cp:keywords/>
  <cp:lastModifiedBy>LEMOINE</cp:lastModifiedBy>
  <cp:revision>7</cp:revision>
  <cp:lastPrinted>1601-01-01T00:00:00Z</cp:lastPrinted>
  <dcterms:created xsi:type="dcterms:W3CDTF">2014-03-09T21:41:00Z</dcterms:created>
  <dcterms:modified xsi:type="dcterms:W3CDTF">2014-04-05T06:22:00Z</dcterms:modified>
</cp:coreProperties>
</file>