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FD" w:rsidRPr="000E4529" w:rsidRDefault="000E4529" w:rsidP="000E4529">
      <w:pPr>
        <w:jc w:val="center"/>
        <w:rPr>
          <w:b/>
          <w:u w:val="single"/>
        </w:rPr>
      </w:pPr>
      <w:r w:rsidRPr="000E4529">
        <w:rPr>
          <w:b/>
          <w:u w:val="single"/>
        </w:rPr>
        <w:t>Préparez la rédaction d’un raisonnement argumenté en réalisant un Escape Game</w:t>
      </w:r>
    </w:p>
    <w:p w:rsidR="000E4529" w:rsidRDefault="000E4529" w:rsidP="000E4529">
      <w:pPr>
        <w:jc w:val="center"/>
      </w:pPr>
    </w:p>
    <w:p w:rsidR="000E4529" w:rsidRDefault="000E4529" w:rsidP="000E4529">
      <w:pPr>
        <w:ind w:hanging="2"/>
      </w:pPr>
      <w:r>
        <w:rPr>
          <w:b/>
        </w:rPr>
        <w:t xml:space="preserve">Sujet : </w:t>
      </w:r>
      <w:r>
        <w:t>À l’aide du dossier documentaire et de vos connaissances, vous expliquerez les avantages de chaque mode de financement des entreprises</w:t>
      </w:r>
    </w:p>
    <w:p w:rsidR="000E4529" w:rsidRDefault="000E4529" w:rsidP="000E4529">
      <w:pPr>
        <w:ind w:hanging="2"/>
        <w:rPr>
          <w:b/>
        </w:rPr>
      </w:pPr>
    </w:p>
    <w:p w:rsidR="000E4529" w:rsidRDefault="000E4529" w:rsidP="000E4529">
      <w:pPr>
        <w:ind w:hanging="2"/>
      </w:pPr>
      <w:r>
        <w:rPr>
          <w:b/>
        </w:rPr>
        <w:t>Document1 : Mode de financement des entreprises françaises en 2021</w:t>
      </w:r>
    </w:p>
    <w:tbl>
      <w:tblPr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3"/>
        <w:gridCol w:w="5303"/>
      </w:tblGrid>
      <w:tr w:rsidR="000E4529" w:rsidTr="00494905"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rPr>
                <w:i/>
              </w:rPr>
              <w:t>En % du financement des entreprises françaises</w:t>
            </w:r>
          </w:p>
          <w:p w:rsidR="000E4529" w:rsidRDefault="000E4529" w:rsidP="00494905">
            <w:pPr>
              <w:ind w:hanging="2"/>
            </w:pPr>
          </w:p>
        </w:tc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2021</w:t>
            </w:r>
          </w:p>
        </w:tc>
      </w:tr>
      <w:tr w:rsidR="000E4529" w:rsidTr="00494905"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Autofinancement</w:t>
            </w:r>
          </w:p>
        </w:tc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50,1</w:t>
            </w:r>
          </w:p>
        </w:tc>
      </w:tr>
      <w:tr w:rsidR="000E4529" w:rsidTr="00494905"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Crédit bancaire</w:t>
            </w:r>
          </w:p>
        </w:tc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21</w:t>
            </w:r>
          </w:p>
        </w:tc>
      </w:tr>
      <w:tr w:rsidR="000E4529" w:rsidTr="00494905"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Emission d’actions</w:t>
            </w:r>
          </w:p>
        </w:tc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21,5</w:t>
            </w:r>
          </w:p>
        </w:tc>
      </w:tr>
      <w:tr w:rsidR="000E4529" w:rsidTr="00494905"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Emission d’obligations</w:t>
            </w:r>
          </w:p>
        </w:tc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7,4</w:t>
            </w:r>
          </w:p>
        </w:tc>
      </w:tr>
      <w:tr w:rsidR="000E4529" w:rsidTr="00494905"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Total</w:t>
            </w:r>
          </w:p>
        </w:tc>
        <w:tc>
          <w:tcPr>
            <w:tcW w:w="5303" w:type="dxa"/>
          </w:tcPr>
          <w:p w:rsidR="000E4529" w:rsidRDefault="000E4529" w:rsidP="00494905">
            <w:pPr>
              <w:ind w:hanging="2"/>
            </w:pPr>
            <w:r>
              <w:t>100</w:t>
            </w:r>
          </w:p>
        </w:tc>
      </w:tr>
    </w:tbl>
    <w:p w:rsidR="000E4529" w:rsidRDefault="000E4529" w:rsidP="000E4529">
      <w:pPr>
        <w:ind w:hanging="2"/>
      </w:pPr>
      <w:r>
        <w:t>Source : Insee, compte de la nations 2022</w:t>
      </w:r>
    </w:p>
    <w:p w:rsidR="000E4529" w:rsidRDefault="000E4529" w:rsidP="000E4529">
      <w:pPr>
        <w:ind w:hanging="2"/>
      </w:pPr>
    </w:p>
    <w:p w:rsidR="000E4529" w:rsidRDefault="000E4529" w:rsidP="000E4529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 xml:space="preserve">Document 2 : </w:t>
      </w:r>
    </w:p>
    <w:p w:rsidR="000E4529" w:rsidRDefault="000E4529" w:rsidP="000E4529">
      <w:pPr>
        <w:ind w:hanging="2"/>
        <w:jc w:val="both"/>
      </w:pPr>
      <w:r>
        <w:rPr>
          <w:i/>
        </w:rPr>
        <w:t>Déjà investisseur initial de la fondation OpenAI qui a développé le fameux outil ChatGPT, Microsoft va investir 10 milliards de dollars. Un argent frais qui ferait du bien à Open AI, et qui donnerait une brique technologique importante à Microsoft.</w:t>
      </w:r>
    </w:p>
    <w:p w:rsidR="000E4529" w:rsidRDefault="000E4529" w:rsidP="000E4529">
      <w:pPr>
        <w:ind w:hanging="2"/>
        <w:jc w:val="both"/>
      </w:pPr>
      <w:r>
        <w:t>Le géant logiciel Microsoft négocie un investissement massif de 10 milliards de dollars dans</w:t>
      </w:r>
      <w:r>
        <w:rPr>
          <w:b/>
        </w:rPr>
        <w:t> OpenAI, la maison mère de ChatGPT</w:t>
      </w:r>
      <w:r>
        <w:t xml:space="preserve">, le super ChatBot qui défraie la chronique en achetant de nouvelles actions d’Open AI. </w:t>
      </w:r>
    </w:p>
    <w:p w:rsidR="000E4529" w:rsidRDefault="000E4529" w:rsidP="000E4529">
      <w:pPr>
        <w:ind w:hanging="2"/>
        <w:jc w:val="both"/>
      </w:pPr>
      <w:r>
        <w:rPr>
          <w:i/>
        </w:rPr>
        <w:t>Pour le moment, l’utilisation de l’IA est gratuite et ouverte à tous. Enfin gratuite, pour ceux qui « jouent » avec, parce que pour Open AI, chaque réponse de Chat GPT coûte, selon le patron d’Open AI, Sam Altman, «</w:t>
      </w:r>
      <w:r>
        <w:t> quelques centimes par chat</w:t>
      </w:r>
      <w:r>
        <w:rPr>
          <w:i/>
        </w:rPr>
        <w:t xml:space="preserve"> », dans l’ordre de grandeur d’un nombre à un chiffre (entre 1 et 9 cents donc). </w:t>
      </w:r>
      <w:r>
        <w:t>Or, le monde entier est en train de jouer avec ChatGPT ! Selon les chiffres communiqués par Open AI en décembre 2022, le coût journalier serait de 100.000 dollars, soit une perte sèche de 3 millions de dollars par mois.</w:t>
      </w:r>
    </w:p>
    <w:p w:rsidR="000E4529" w:rsidRDefault="000E4529" w:rsidP="000E4529">
      <w:pPr>
        <w:ind w:hanging="2"/>
        <w:jc w:val="both"/>
      </w:pPr>
      <w:r>
        <w:t xml:space="preserve">En mettant 10 milliards de dollars sur la table, Microsoft permet à l’entreprise Open Ai de continuer à exister et à populariser son outil mais lui permet de poursuivre ses efforts d’innovations et de recherche développement face à une concurrence qui s’organise. </w:t>
      </w:r>
      <w:r w:rsidRPr="00E40040">
        <w:rPr>
          <w:i/>
        </w:rPr>
        <w:t>https://www.01net.com/actualites/chatgpt-microsoft-veut-investir-10-milliards-dans-open-ai-et-dominer-les-ia-grand-public.html</w:t>
      </w:r>
    </w:p>
    <w:p w:rsidR="000E4529" w:rsidRDefault="000E4529" w:rsidP="000E4529"/>
    <w:p w:rsidR="000E4529" w:rsidRDefault="000E4529" w:rsidP="000E4529">
      <w:r>
        <w:t xml:space="preserve">Lien pour réaliser l’escape </w:t>
      </w:r>
      <w:proofErr w:type="spellStart"/>
      <w:r>
        <w:t>game</w:t>
      </w:r>
      <w:proofErr w:type="spellEnd"/>
      <w:r>
        <w:t xml:space="preserve"> : </w:t>
      </w:r>
      <w:hyperlink r:id="rId4" w:history="1">
        <w:r w:rsidRPr="00A77AA0">
          <w:rPr>
            <w:rStyle w:val="Lienhypertexte"/>
          </w:rPr>
          <w:t>https://view.genial.ly/641d6f05195af400126ea93c</w:t>
        </w:r>
      </w:hyperlink>
    </w:p>
    <w:p w:rsidR="000E4529" w:rsidRDefault="000E4529" w:rsidP="000E4529"/>
    <w:p w:rsidR="000E4529" w:rsidRDefault="000E4529" w:rsidP="000E4529">
      <w:r>
        <w:t xml:space="preserve">Collecte des indices pour réussir </w:t>
      </w:r>
    </w:p>
    <w:p w:rsidR="000E4529" w:rsidRPr="000E4529" w:rsidRDefault="000E4529" w:rsidP="000E4529">
      <w:pPr>
        <w:rPr>
          <w:b/>
        </w:rPr>
      </w:pPr>
      <w:r>
        <w:rPr>
          <w:rFonts w:ascii="Source Sans Pro" w:hAnsi="Source Sans Pro"/>
          <w:b/>
          <w:bCs/>
          <w:color w:val="FFFFFF"/>
          <w:sz w:val="30"/>
          <w:szCs w:val="30"/>
          <w:shd w:val="clear" w:color="auto" w:fill="5E3C71"/>
        </w:rPr>
        <w:t>Niveau 1: Compréhension du sujet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529" w:rsidTr="000E4529">
        <w:tc>
          <w:tcPr>
            <w:tcW w:w="10456" w:type="dxa"/>
          </w:tcPr>
          <w:p w:rsidR="000E4529" w:rsidRDefault="004D5D7F" w:rsidP="000E4529">
            <w:r>
              <w:t>Reprenez les éléments du quiz et du document pour rédiger une accroche</w:t>
            </w:r>
          </w:p>
          <w:p w:rsidR="004D5D7F" w:rsidRDefault="004D5D7F" w:rsidP="000E4529"/>
          <w:p w:rsidR="000E4529" w:rsidRDefault="000E4529" w:rsidP="000E4529"/>
          <w:p w:rsidR="000E4529" w:rsidRDefault="000E4529" w:rsidP="000E4529"/>
        </w:tc>
      </w:tr>
    </w:tbl>
    <w:p w:rsidR="000E4529" w:rsidRDefault="000E4529" w:rsidP="000E4529"/>
    <w:p w:rsidR="000E4529" w:rsidRDefault="000E4529" w:rsidP="000E4529">
      <w:pPr>
        <w:rPr>
          <w:rFonts w:ascii="Source Sans Pro" w:hAnsi="Source Sans Pro"/>
          <w:b/>
          <w:bCs/>
          <w:color w:val="FFFFFF"/>
          <w:sz w:val="29"/>
          <w:szCs w:val="29"/>
          <w:shd w:val="clear" w:color="auto" w:fill="5E3C71"/>
        </w:rPr>
      </w:pPr>
      <w:r>
        <w:rPr>
          <w:rFonts w:ascii="Source Sans Pro" w:hAnsi="Source Sans Pro"/>
          <w:b/>
          <w:bCs/>
          <w:color w:val="FFFFFF"/>
          <w:sz w:val="29"/>
          <w:szCs w:val="29"/>
          <w:shd w:val="clear" w:color="auto" w:fill="5E3C71"/>
        </w:rPr>
        <w:t>Niveau 2:  Savoir distinguer les différents modes de financement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529" w:rsidTr="000E4529">
        <w:tc>
          <w:tcPr>
            <w:tcW w:w="10456" w:type="dxa"/>
          </w:tcPr>
          <w:p w:rsidR="000E4529" w:rsidRDefault="002172C3" w:rsidP="000E4529">
            <w:r>
              <w:t>Notez le vocabulaire utile pour distinguer les modes de financement</w:t>
            </w:r>
            <w:r w:rsidR="00881C35">
              <w:t xml:space="preserve"> et le cout de chaque financement</w:t>
            </w:r>
          </w:p>
          <w:p w:rsidR="002172C3" w:rsidRDefault="002172C3" w:rsidP="000E4529"/>
          <w:p w:rsidR="002172C3" w:rsidRDefault="002172C3" w:rsidP="000E4529"/>
          <w:p w:rsidR="002172C3" w:rsidRDefault="002172C3" w:rsidP="000E4529"/>
          <w:p w:rsidR="000E4529" w:rsidRDefault="000E4529" w:rsidP="000E4529"/>
          <w:p w:rsidR="000E4529" w:rsidRDefault="000E4529" w:rsidP="000E4529"/>
        </w:tc>
      </w:tr>
    </w:tbl>
    <w:p w:rsidR="000E4529" w:rsidRDefault="000E4529" w:rsidP="000E4529"/>
    <w:p w:rsidR="000E4529" w:rsidRDefault="000E4529" w:rsidP="000E4529">
      <w:pPr>
        <w:rPr>
          <w:rFonts w:ascii="Source Sans Pro" w:hAnsi="Source Sans Pro"/>
          <w:b/>
          <w:bCs/>
          <w:color w:val="FFFFFF"/>
          <w:sz w:val="29"/>
          <w:szCs w:val="29"/>
          <w:shd w:val="clear" w:color="auto" w:fill="5E3C71"/>
        </w:rPr>
      </w:pPr>
      <w:r>
        <w:rPr>
          <w:rFonts w:ascii="Source Sans Pro" w:hAnsi="Source Sans Pro"/>
          <w:b/>
          <w:bCs/>
          <w:color w:val="FFFFFF"/>
          <w:sz w:val="29"/>
          <w:szCs w:val="29"/>
          <w:shd w:val="clear" w:color="auto" w:fill="5E3C71"/>
        </w:rPr>
        <w:t>Niveau 3: Les avantages de chaque mode de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529" w:rsidTr="000E4529">
        <w:tc>
          <w:tcPr>
            <w:tcW w:w="10456" w:type="dxa"/>
          </w:tcPr>
          <w:p w:rsidR="00881C35" w:rsidRDefault="00FB2313" w:rsidP="00881C35">
            <w:r>
              <w:t>Faites</w:t>
            </w:r>
            <w:r w:rsidR="00881C35">
              <w:t xml:space="preserve"> une copie d’écran du tableau complété + faire une copie d’écran des avantages de chaque mode de financement</w:t>
            </w:r>
          </w:p>
          <w:p w:rsidR="00881C35" w:rsidRDefault="00881C35" w:rsidP="00881C35"/>
          <w:p w:rsidR="000E4529" w:rsidRDefault="000E4529" w:rsidP="000E4529"/>
          <w:p w:rsidR="000E4529" w:rsidRDefault="000E4529" w:rsidP="00881C35"/>
        </w:tc>
      </w:tr>
    </w:tbl>
    <w:p w:rsidR="000E4529" w:rsidRDefault="000E4529" w:rsidP="000E4529"/>
    <w:p w:rsidR="000E4529" w:rsidRDefault="000E4529" w:rsidP="000E4529">
      <w:pPr>
        <w:rPr>
          <w:rFonts w:ascii="Source Sans Pro" w:hAnsi="Source Sans Pro"/>
          <w:b/>
          <w:bCs/>
          <w:color w:val="FFFFFF"/>
          <w:sz w:val="30"/>
          <w:szCs w:val="30"/>
          <w:shd w:val="clear" w:color="auto" w:fill="5E3C71"/>
        </w:rPr>
      </w:pPr>
      <w:r>
        <w:rPr>
          <w:rFonts w:ascii="Source Sans Pro" w:hAnsi="Source Sans Pro"/>
          <w:b/>
          <w:bCs/>
          <w:color w:val="FFFFFF"/>
          <w:sz w:val="30"/>
          <w:szCs w:val="30"/>
          <w:shd w:val="clear" w:color="auto" w:fill="5E3C71"/>
        </w:rPr>
        <w:lastRenderedPageBreak/>
        <w:t>Niveau 4: L'utilisation des documents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529" w:rsidTr="000E4529">
        <w:tc>
          <w:tcPr>
            <w:tcW w:w="10456" w:type="dxa"/>
          </w:tcPr>
          <w:p w:rsidR="000E4529" w:rsidRDefault="00FB2313" w:rsidP="000E4529">
            <w:r>
              <w:t>Reprenez</w:t>
            </w:r>
            <w:r w:rsidR="00881C35">
              <w:t xml:space="preserve"> le nombre de chiffres à utiliser dans le document1</w:t>
            </w:r>
          </w:p>
          <w:p w:rsidR="00881C35" w:rsidRDefault="00881C35" w:rsidP="000E4529">
            <w:r>
              <w:t>Note</w:t>
            </w:r>
            <w:r w:rsidR="00FB2313">
              <w:t>z</w:t>
            </w:r>
            <w:r>
              <w:t xml:space="preserve"> la manière d’utiliser le document 2</w:t>
            </w:r>
          </w:p>
          <w:p w:rsidR="00881C35" w:rsidRDefault="00881C35" w:rsidP="000E4529"/>
          <w:p w:rsidR="000E4529" w:rsidRDefault="000E4529" w:rsidP="000E4529"/>
          <w:p w:rsidR="000E4529" w:rsidRDefault="000E4529" w:rsidP="000E4529"/>
        </w:tc>
      </w:tr>
    </w:tbl>
    <w:p w:rsidR="000E4529" w:rsidRDefault="000E4529" w:rsidP="000E4529"/>
    <w:p w:rsidR="000E4529" w:rsidRDefault="000E4529" w:rsidP="000E4529">
      <w:pPr>
        <w:rPr>
          <w:rFonts w:ascii="Source Sans Pro" w:hAnsi="Source Sans Pro"/>
          <w:b/>
          <w:bCs/>
          <w:color w:val="FFFFFF"/>
          <w:sz w:val="30"/>
          <w:szCs w:val="30"/>
          <w:shd w:val="clear" w:color="auto" w:fill="5E3C71"/>
        </w:rPr>
      </w:pPr>
      <w:r>
        <w:rPr>
          <w:rFonts w:ascii="Source Sans Pro" w:hAnsi="Source Sans Pro"/>
          <w:b/>
          <w:bCs/>
          <w:color w:val="FFFFFF"/>
          <w:sz w:val="30"/>
          <w:szCs w:val="30"/>
          <w:shd w:val="clear" w:color="auto" w:fill="5E3C71"/>
        </w:rPr>
        <w:t>Niveau 5: Le plan argumentatif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529" w:rsidTr="000E4529">
        <w:tc>
          <w:tcPr>
            <w:tcW w:w="10456" w:type="dxa"/>
          </w:tcPr>
          <w:p w:rsidR="000E4529" w:rsidRDefault="00881C35" w:rsidP="000E4529">
            <w:r>
              <w:t>Note</w:t>
            </w:r>
            <w:r w:rsidR="00FB2313">
              <w:t>z</w:t>
            </w:r>
            <w:bookmarkStart w:id="0" w:name="_GoBack"/>
            <w:bookmarkEnd w:id="0"/>
            <w:r>
              <w:t xml:space="preserve"> le plan à suivre.</w:t>
            </w:r>
          </w:p>
          <w:p w:rsidR="000E4529" w:rsidRDefault="000E4529" w:rsidP="000E4529"/>
          <w:p w:rsidR="000E4529" w:rsidRDefault="000E4529" w:rsidP="000E4529"/>
        </w:tc>
      </w:tr>
    </w:tbl>
    <w:p w:rsidR="000E4529" w:rsidRDefault="000E4529" w:rsidP="000E4529"/>
    <w:sectPr w:rsidR="000E4529" w:rsidSect="000E4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29"/>
    <w:rsid w:val="000E4529"/>
    <w:rsid w:val="001A3579"/>
    <w:rsid w:val="002172C3"/>
    <w:rsid w:val="004D5D7F"/>
    <w:rsid w:val="00881C35"/>
    <w:rsid w:val="00ED7DFD"/>
    <w:rsid w:val="00F07F8C"/>
    <w:rsid w:val="00F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FF0D"/>
  <w15:chartTrackingRefBased/>
  <w15:docId w15:val="{61C05165-4048-47B5-ADC5-FFE02C8B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452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41d6f05195af400126ea93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Marcq</dc:creator>
  <cp:keywords/>
  <dc:description/>
  <cp:lastModifiedBy>François Marcq</cp:lastModifiedBy>
  <cp:revision>5</cp:revision>
  <dcterms:created xsi:type="dcterms:W3CDTF">2023-03-24T14:48:00Z</dcterms:created>
  <dcterms:modified xsi:type="dcterms:W3CDTF">2023-05-31T09:52:00Z</dcterms:modified>
</cp:coreProperties>
</file>