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3B5463" w:rsidTr="003A16BA">
        <w:tc>
          <w:tcPr>
            <w:tcW w:w="2518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ED721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3B5463" w:rsidRDefault="00CC6BFE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SCIENCES SOCIALES ET POLITIQUES »</w:t>
            </w:r>
            <w:r w:rsidR="00D954AF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930702" w:rsidRDefault="00ED721C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3070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N° du</w:t>
            </w:r>
            <w:r w:rsidRPr="00930702">
              <w:rPr>
                <w:rFonts w:ascii="Times New Roman" w:hAnsi="Times New Roman" w:cs="Times New Roman"/>
                <w:b/>
                <w:sz w:val="22"/>
                <w:szCs w:val="22"/>
                <w:lang w:val="fr-FR" w:bidi="ar-EG"/>
              </w:rPr>
              <w:t xml:space="preserve"> sujet</w:t>
            </w:r>
            <w:r w:rsidRPr="0093070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: 14</w:t>
            </w:r>
            <w:r w:rsidR="00CC6BFE" w:rsidRPr="0093070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c9</w:t>
            </w:r>
            <w:r w:rsidR="00E167D7" w:rsidRPr="0093070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-</w:t>
            </w:r>
            <w:r w:rsidR="00F03FC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3-11</w:t>
            </w:r>
            <w:r w:rsidR="003E2261" w:rsidRPr="0093070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-</w:t>
            </w:r>
            <w:r w:rsidR="00F03FC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</w:t>
            </w:r>
          </w:p>
        </w:tc>
      </w:tr>
      <w:tr w:rsidR="00E167D7" w:rsidRPr="003B5463" w:rsidTr="003A16BA">
        <w:tc>
          <w:tcPr>
            <w:tcW w:w="2518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3B5463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CC6BF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3F67EC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F67E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</w:t>
            </w:r>
            <w:r w:rsidRPr="003B5463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3B5463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3B5463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F03FC2" w:rsidTr="003A16BA">
        <w:tc>
          <w:tcPr>
            <w:tcW w:w="9778" w:type="dxa"/>
            <w:gridSpan w:val="3"/>
          </w:tcPr>
          <w:p w:rsidR="00E167D7" w:rsidRPr="003E2261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E226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AC0BA0" w:rsidRPr="003E226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3E2261" w:rsidRPr="003E226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les pouvoirs publics peuvent-ils contribuer à la justice sociale ?</w:t>
            </w:r>
          </w:p>
        </w:tc>
      </w:tr>
      <w:tr w:rsidR="00E167D7" w:rsidRPr="00F03FC2" w:rsidTr="00C823CE">
        <w:tc>
          <w:tcPr>
            <w:tcW w:w="9778" w:type="dxa"/>
            <w:gridSpan w:val="3"/>
            <w:vAlign w:val="center"/>
          </w:tcPr>
          <w:p w:rsidR="00E167D7" w:rsidRPr="003E2261" w:rsidRDefault="00E167D7" w:rsidP="00C823CE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E226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246268" w:rsidRPr="003E226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Par quels moyens l’Etat peut-il lutter contre les inégalités ?</w:t>
            </w:r>
          </w:p>
        </w:tc>
      </w:tr>
      <w:tr w:rsidR="00E167D7" w:rsidRPr="003B5463" w:rsidTr="003A16BA">
        <w:tc>
          <w:tcPr>
            <w:tcW w:w="9778" w:type="dxa"/>
            <w:gridSpan w:val="3"/>
          </w:tcPr>
          <w:p w:rsidR="00E167D7" w:rsidRPr="003B5463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3E2261" w:rsidTr="0054480B">
        <w:trPr>
          <w:trHeight w:val="397"/>
        </w:trPr>
        <w:tc>
          <w:tcPr>
            <w:tcW w:w="9778" w:type="dxa"/>
            <w:gridSpan w:val="3"/>
            <w:vAlign w:val="center"/>
          </w:tcPr>
          <w:p w:rsidR="00E167D7" w:rsidRPr="0054480B" w:rsidRDefault="00D954AF" w:rsidP="0054480B">
            <w:pPr>
              <w:rPr>
                <w:rFonts w:ascii="Times New Roman" w:hAnsi="Times New Roman" w:cs="Times New Roman"/>
                <w:szCs w:val="24"/>
                <w:lang w:val="fr-FR"/>
              </w:rPr>
            </w:pPr>
            <w:r w:rsidRPr="0054480B">
              <w:rPr>
                <w:rFonts w:ascii="Times New Roman" w:hAnsi="Times New Roman" w:cs="Times New Roman"/>
                <w:szCs w:val="24"/>
                <w:lang w:val="fr-FR"/>
              </w:rPr>
              <w:t>1</w:t>
            </w:r>
            <w:r w:rsidR="00E167D7" w:rsidRPr="0054480B">
              <w:rPr>
                <w:rFonts w:ascii="Times New Roman" w:hAnsi="Times New Roman" w:cs="Times New Roman"/>
                <w:szCs w:val="24"/>
                <w:lang w:val="fr-FR"/>
              </w:rPr>
              <w:t xml:space="preserve">) </w:t>
            </w:r>
            <w:r w:rsidR="003E2261">
              <w:rPr>
                <w:rFonts w:ascii="Times New Roman" w:hAnsi="Times New Roman" w:cs="Times New Roman"/>
                <w:szCs w:val="24"/>
                <w:lang w:val="fr-FR"/>
              </w:rPr>
              <w:t xml:space="preserve">Donnez la signification des 2 valeurs </w:t>
            </w:r>
            <w:r w:rsidR="00D16459" w:rsidRPr="0054480B">
              <w:rPr>
                <w:rFonts w:ascii="Times New Roman" w:hAnsi="Times New Roman" w:cs="Times New Roman"/>
                <w:szCs w:val="24"/>
                <w:lang w:val="fr-FR"/>
              </w:rPr>
              <w:t>entouré</w:t>
            </w:r>
            <w:r w:rsidR="003E2261">
              <w:rPr>
                <w:rFonts w:ascii="Times New Roman" w:hAnsi="Times New Roman" w:cs="Times New Roman"/>
                <w:szCs w:val="24"/>
                <w:lang w:val="fr-FR"/>
              </w:rPr>
              <w:t>e</w:t>
            </w:r>
            <w:r w:rsidR="00D16459" w:rsidRPr="0054480B">
              <w:rPr>
                <w:rFonts w:ascii="Times New Roman" w:hAnsi="Times New Roman" w:cs="Times New Roman"/>
                <w:szCs w:val="24"/>
                <w:lang w:val="fr-FR"/>
              </w:rPr>
              <w:t>s</w:t>
            </w:r>
            <w:r w:rsidR="00AC0BA0">
              <w:rPr>
                <w:rFonts w:ascii="Times New Roman" w:hAnsi="Times New Roman" w:cs="Times New Roman"/>
                <w:szCs w:val="24"/>
                <w:lang w:val="fr-FR"/>
              </w:rPr>
              <w:t>. (Document 1)</w:t>
            </w:r>
            <w:r w:rsidR="003E2261">
              <w:rPr>
                <w:rFonts w:ascii="Times New Roman" w:hAnsi="Times New Roman" w:cs="Times New Roman"/>
                <w:szCs w:val="24"/>
                <w:lang w:val="fr-FR"/>
              </w:rPr>
              <w:t>. (4 points)</w:t>
            </w:r>
          </w:p>
        </w:tc>
      </w:tr>
      <w:tr w:rsidR="00E167D7" w:rsidRPr="003E2261" w:rsidTr="0054480B">
        <w:trPr>
          <w:trHeight w:val="397"/>
        </w:trPr>
        <w:tc>
          <w:tcPr>
            <w:tcW w:w="9778" w:type="dxa"/>
            <w:gridSpan w:val="3"/>
            <w:vAlign w:val="center"/>
          </w:tcPr>
          <w:p w:rsidR="00E167D7" w:rsidRPr="0054480B" w:rsidRDefault="00D954AF" w:rsidP="0054480B">
            <w:pPr>
              <w:rPr>
                <w:rFonts w:ascii="Times New Roman" w:hAnsi="Times New Roman" w:cs="Times New Roman"/>
                <w:szCs w:val="24"/>
                <w:lang w:val="fr-FR"/>
              </w:rPr>
            </w:pPr>
            <w:r w:rsidRPr="0054480B">
              <w:rPr>
                <w:rFonts w:ascii="Times New Roman" w:hAnsi="Times New Roman" w:cs="Times New Roman"/>
                <w:szCs w:val="24"/>
                <w:lang w:val="fr-FR"/>
              </w:rPr>
              <w:t>2</w:t>
            </w:r>
            <w:r w:rsidR="00E167D7" w:rsidRPr="0054480B">
              <w:rPr>
                <w:rFonts w:ascii="Times New Roman" w:hAnsi="Times New Roman" w:cs="Times New Roman"/>
                <w:szCs w:val="24"/>
                <w:lang w:val="fr-FR"/>
              </w:rPr>
              <w:t xml:space="preserve">) </w:t>
            </w:r>
            <w:r w:rsidR="00BA5FEF" w:rsidRPr="0054480B">
              <w:rPr>
                <w:rFonts w:ascii="Times New Roman" w:hAnsi="Times New Roman" w:cs="Times New Roman"/>
                <w:szCs w:val="24"/>
                <w:lang w:val="fr-FR"/>
              </w:rPr>
              <w:t>En quoi les différents modes de scrutin influencent-ils la compétition politiques en démocratie ?</w:t>
            </w:r>
            <w:r w:rsidR="003E2261">
              <w:rPr>
                <w:rFonts w:ascii="Times New Roman" w:hAnsi="Times New Roman" w:cs="Times New Roman"/>
                <w:szCs w:val="24"/>
                <w:lang w:val="fr-FR"/>
              </w:rPr>
              <w:t xml:space="preserve">    (3 points)</w:t>
            </w:r>
          </w:p>
        </w:tc>
      </w:tr>
      <w:tr w:rsidR="00E167D7" w:rsidRPr="003E2261" w:rsidTr="0054480B">
        <w:trPr>
          <w:trHeight w:val="397"/>
        </w:trPr>
        <w:tc>
          <w:tcPr>
            <w:tcW w:w="9778" w:type="dxa"/>
            <w:gridSpan w:val="3"/>
            <w:vAlign w:val="center"/>
          </w:tcPr>
          <w:p w:rsidR="00E167D7" w:rsidRPr="0054480B" w:rsidRDefault="00D954AF" w:rsidP="0054480B">
            <w:pPr>
              <w:rPr>
                <w:rFonts w:ascii="Times New Roman" w:hAnsi="Times New Roman" w:cs="Times New Roman"/>
                <w:szCs w:val="24"/>
                <w:lang w:val="fr-FR"/>
              </w:rPr>
            </w:pPr>
            <w:r w:rsidRPr="0054480B">
              <w:rPr>
                <w:rFonts w:ascii="Times New Roman" w:hAnsi="Times New Roman" w:cs="Times New Roman"/>
                <w:szCs w:val="24"/>
                <w:lang w:val="fr-FR"/>
              </w:rPr>
              <w:t>3</w:t>
            </w:r>
            <w:r w:rsidR="00E167D7" w:rsidRPr="0054480B">
              <w:rPr>
                <w:rFonts w:ascii="Times New Roman" w:hAnsi="Times New Roman" w:cs="Times New Roman"/>
                <w:szCs w:val="24"/>
                <w:lang w:val="fr-FR"/>
              </w:rPr>
              <w:t>)</w:t>
            </w:r>
            <w:r w:rsidR="00BA5FEF" w:rsidRPr="0054480B">
              <w:rPr>
                <w:rFonts w:ascii="Times New Roman" w:hAnsi="Times New Roman" w:cs="Times New Roman"/>
                <w:szCs w:val="24"/>
                <w:lang w:val="fr-FR"/>
              </w:rPr>
              <w:t xml:space="preserve"> De quoi dépendent les comportements électoraux ?</w:t>
            </w:r>
            <w:r w:rsidR="003E2261">
              <w:rPr>
                <w:rFonts w:ascii="Times New Roman" w:hAnsi="Times New Roman" w:cs="Times New Roman"/>
                <w:szCs w:val="24"/>
                <w:lang w:val="fr-FR"/>
              </w:rPr>
              <w:t xml:space="preserve"> (3 points)</w:t>
            </w:r>
          </w:p>
        </w:tc>
      </w:tr>
    </w:tbl>
    <w:p w:rsidR="003A16BA" w:rsidRPr="003B5463" w:rsidRDefault="003A16BA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246268" w:rsidRPr="00334441" w:rsidRDefault="00CC6BFE" w:rsidP="00D048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b/>
          <w:bCs/>
          <w:spacing w:val="-2"/>
          <w:szCs w:val="24"/>
          <w:lang w:val="fr-FR"/>
        </w:rPr>
      </w:pPr>
      <w:r w:rsidRPr="00334441"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  <w:t>DOCUMENT 1</w:t>
      </w:r>
      <w:r w:rsidR="00D04806" w:rsidRPr="00334441"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  <w:t xml:space="preserve"> : </w:t>
      </w:r>
      <w:r w:rsidR="00246268" w:rsidRPr="00334441">
        <w:rPr>
          <w:rFonts w:ascii="Times New Roman" w:hAnsi="Times New Roman" w:cs="Times New Roman"/>
          <w:b/>
          <w:bCs/>
          <w:spacing w:val="-2"/>
          <w:szCs w:val="24"/>
          <w:lang w:val="fr-FR"/>
        </w:rPr>
        <w:t>Montants moyens des prélèvements et des prestations en 2010 (en euros)</w:t>
      </w:r>
    </w:p>
    <w:p w:rsidR="00D04806" w:rsidRPr="00D04806" w:rsidRDefault="00D04806" w:rsidP="00D048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3"/>
        <w:gridCol w:w="1094"/>
        <w:gridCol w:w="1094"/>
        <w:gridCol w:w="1094"/>
        <w:gridCol w:w="1094"/>
      </w:tblGrid>
      <w:tr w:rsidR="00246268" w:rsidRPr="00F03FC2" w:rsidTr="00246268">
        <w:tc>
          <w:tcPr>
            <w:tcW w:w="4077" w:type="dxa"/>
            <w:vMerge w:val="restart"/>
          </w:tcPr>
          <w:p w:rsidR="00246268" w:rsidRPr="00512DB4" w:rsidRDefault="00246268" w:rsidP="00246268">
            <w:pPr>
              <w:pStyle w:val="Default"/>
              <w:suppressAutoHyphens/>
              <w:rPr>
                <w:rFonts w:ascii="Helvetica" w:hAnsi="Helvetica" w:cs="Helvetica"/>
                <w:lang w:eastAsia="hi-IN" w:bidi="hi-IN"/>
              </w:rPr>
            </w:pPr>
          </w:p>
        </w:tc>
        <w:tc>
          <w:tcPr>
            <w:tcW w:w="5469" w:type="dxa"/>
            <w:gridSpan w:val="5"/>
          </w:tcPr>
          <w:p w:rsidR="00246268" w:rsidRPr="00512DB4" w:rsidRDefault="00246268" w:rsidP="00246268">
            <w:pPr>
              <w:pStyle w:val="Default"/>
              <w:suppressAutoHyphens/>
              <w:jc w:val="center"/>
              <w:rPr>
                <w:rFonts w:ascii="Helvetica" w:hAnsi="Helvetica" w:cs="Helvetica"/>
                <w:lang w:eastAsia="hi-IN" w:bidi="hi-IN"/>
              </w:rPr>
            </w:pPr>
            <w:r w:rsidRPr="00512DB4">
              <w:rPr>
                <w:rFonts w:ascii="Helvetica" w:hAnsi="Helvetica" w:cs="Helvetica"/>
                <w:spacing w:val="-2"/>
                <w:lang w:eastAsia="hi-IN" w:bidi="hi-IN"/>
              </w:rPr>
              <w:t xml:space="preserve">Revenus moyens par unité de </w:t>
            </w:r>
            <w:r w:rsidRPr="00512DB4">
              <w:rPr>
                <w:rFonts w:ascii="Helvetica" w:hAnsi="Helvetica" w:cs="Helvetica"/>
                <w:spacing w:val="-2"/>
                <w:lang w:eastAsia="hi-IN" w:bidi="hi-IN"/>
              </w:rPr>
              <w:br/>
              <w:t>consommation</w:t>
            </w:r>
            <w:r w:rsidRPr="00512DB4">
              <w:rPr>
                <w:rFonts w:ascii="Helvetica" w:hAnsi="Helvetica" w:cs="Helvetica"/>
                <w:spacing w:val="-2"/>
                <w:vertAlign w:val="superscript"/>
                <w:lang w:eastAsia="hi-IN" w:bidi="hi-IN"/>
              </w:rPr>
              <w:t>(1)</w:t>
            </w:r>
            <w:r w:rsidRPr="00512DB4">
              <w:rPr>
                <w:rFonts w:ascii="Helvetica" w:hAnsi="Helvetica" w:cs="Helvetica"/>
                <w:spacing w:val="-2"/>
                <w:lang w:eastAsia="hi-IN" w:bidi="hi-IN"/>
              </w:rPr>
              <w:t xml:space="preserve"> par quintile</w:t>
            </w:r>
            <w:r w:rsidRPr="00512DB4">
              <w:rPr>
                <w:rFonts w:ascii="Helvetica" w:hAnsi="Helvetica" w:cs="Helvetica"/>
                <w:spacing w:val="-2"/>
                <w:vertAlign w:val="superscript"/>
                <w:lang w:eastAsia="hi-IN" w:bidi="hi-IN"/>
              </w:rPr>
              <w:t>(2)</w:t>
            </w:r>
          </w:p>
        </w:tc>
      </w:tr>
      <w:tr w:rsidR="00246268" w:rsidTr="00246268">
        <w:tc>
          <w:tcPr>
            <w:tcW w:w="4077" w:type="dxa"/>
            <w:vMerge/>
          </w:tcPr>
          <w:p w:rsidR="00246268" w:rsidRPr="00512DB4" w:rsidRDefault="00246268" w:rsidP="00246268">
            <w:pPr>
              <w:pStyle w:val="Default"/>
              <w:suppressAutoHyphens/>
              <w:rPr>
                <w:rFonts w:ascii="Helvetica" w:hAnsi="Helvetica" w:cs="Helvetica"/>
                <w:lang w:eastAsia="hi-IN" w:bidi="hi-IN"/>
              </w:rPr>
            </w:pPr>
          </w:p>
        </w:tc>
        <w:tc>
          <w:tcPr>
            <w:tcW w:w="1093" w:type="dxa"/>
            <w:vAlign w:val="center"/>
          </w:tcPr>
          <w:p w:rsidR="00246268" w:rsidRPr="00246268" w:rsidRDefault="00EB3B8A" w:rsidP="0024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EB3B8A">
              <w:rPr>
                <w:rFonts w:ascii="Times New Roman" w:hAnsi="Times New Roman" w:cs="Times New Roman"/>
                <w:b/>
                <w:bCs/>
                <w:noProof/>
                <w:spacing w:val="-2"/>
                <w:szCs w:val="24"/>
                <w:lang w:val="fr-FR" w:eastAsia="fr-FR" w:bidi="ar-SA"/>
              </w:rPr>
              <w:pict>
                <v:roundrect id="_x0000_s1029" style="position:absolute;left:0;text-align:left;margin-left:.55pt;margin-top:10.9pt;width:44.3pt;height:24.2pt;z-index:-251658240;mso-position-horizontal-relative:text;mso-position-vertical-relative:text" arcsize="10923f"/>
              </w:pict>
            </w:r>
            <w:r w:rsidR="00246268" w:rsidRPr="00246268">
              <w:rPr>
                <w:rFonts w:ascii="Times New Roman" w:hAnsi="Times New Roman" w:cs="Times New Roman"/>
                <w:spacing w:val="-2"/>
                <w:szCs w:val="24"/>
              </w:rPr>
              <w:t>Q1</w:t>
            </w:r>
          </w:p>
        </w:tc>
        <w:tc>
          <w:tcPr>
            <w:tcW w:w="1094" w:type="dxa"/>
            <w:vAlign w:val="center"/>
          </w:tcPr>
          <w:p w:rsidR="00246268" w:rsidRPr="00246268" w:rsidRDefault="00246268" w:rsidP="0024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246268">
              <w:rPr>
                <w:rFonts w:ascii="Times New Roman" w:hAnsi="Times New Roman" w:cs="Times New Roman"/>
                <w:spacing w:val="-2"/>
                <w:szCs w:val="24"/>
              </w:rPr>
              <w:t>Q2</w:t>
            </w:r>
          </w:p>
        </w:tc>
        <w:tc>
          <w:tcPr>
            <w:tcW w:w="1094" w:type="dxa"/>
            <w:vAlign w:val="center"/>
          </w:tcPr>
          <w:p w:rsidR="00246268" w:rsidRPr="00246268" w:rsidRDefault="00246268" w:rsidP="0024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246268">
              <w:rPr>
                <w:rFonts w:ascii="Times New Roman" w:hAnsi="Times New Roman" w:cs="Times New Roman"/>
                <w:spacing w:val="-2"/>
                <w:szCs w:val="24"/>
              </w:rPr>
              <w:t>Q3</w:t>
            </w:r>
          </w:p>
        </w:tc>
        <w:tc>
          <w:tcPr>
            <w:tcW w:w="1094" w:type="dxa"/>
            <w:vAlign w:val="center"/>
          </w:tcPr>
          <w:p w:rsidR="00246268" w:rsidRPr="00246268" w:rsidRDefault="00246268" w:rsidP="0024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246268">
              <w:rPr>
                <w:rFonts w:ascii="Times New Roman" w:hAnsi="Times New Roman" w:cs="Times New Roman"/>
                <w:spacing w:val="-2"/>
                <w:szCs w:val="24"/>
              </w:rPr>
              <w:t>Q4</w:t>
            </w:r>
          </w:p>
        </w:tc>
        <w:tc>
          <w:tcPr>
            <w:tcW w:w="1094" w:type="dxa"/>
            <w:vAlign w:val="center"/>
          </w:tcPr>
          <w:p w:rsidR="00246268" w:rsidRPr="00246268" w:rsidRDefault="00246268" w:rsidP="002462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246268">
              <w:rPr>
                <w:rFonts w:ascii="Times New Roman" w:hAnsi="Times New Roman" w:cs="Times New Roman"/>
                <w:spacing w:val="-2"/>
                <w:szCs w:val="24"/>
              </w:rPr>
              <w:t>Q5</w:t>
            </w:r>
          </w:p>
        </w:tc>
      </w:tr>
      <w:tr w:rsidR="00246268" w:rsidTr="00C21310">
        <w:trPr>
          <w:trHeight w:val="340"/>
        </w:trPr>
        <w:tc>
          <w:tcPr>
            <w:tcW w:w="4077" w:type="dxa"/>
            <w:vAlign w:val="center"/>
          </w:tcPr>
          <w:p w:rsidR="00246268" w:rsidRPr="00512DB4" w:rsidRDefault="00246268" w:rsidP="00246268">
            <w:pPr>
              <w:pStyle w:val="Default"/>
              <w:suppressAutoHyphens/>
              <w:rPr>
                <w:lang w:val="en-US" w:eastAsia="hi-IN" w:bidi="hi-IN"/>
              </w:rPr>
            </w:pPr>
            <w:proofErr w:type="spellStart"/>
            <w:r w:rsidRPr="00512DB4">
              <w:rPr>
                <w:b/>
                <w:bCs/>
                <w:spacing w:val="-2"/>
                <w:lang w:val="en-US" w:eastAsia="hi-IN" w:bidi="hi-IN"/>
              </w:rPr>
              <w:t>Revenu</w:t>
            </w:r>
            <w:proofErr w:type="spellEnd"/>
            <w:r w:rsidRPr="00512DB4">
              <w:rPr>
                <w:b/>
                <w:bCs/>
                <w:spacing w:val="-2"/>
                <w:lang w:val="en-US" w:eastAsia="hi-IN" w:bidi="hi-IN"/>
              </w:rPr>
              <w:t xml:space="preserve"> </w:t>
            </w:r>
            <w:proofErr w:type="spellStart"/>
            <w:r w:rsidRPr="00512DB4">
              <w:rPr>
                <w:b/>
                <w:bCs/>
                <w:spacing w:val="-2"/>
                <w:lang w:val="en-US" w:eastAsia="hi-IN" w:bidi="hi-IN"/>
              </w:rPr>
              <w:t>avant</w:t>
            </w:r>
            <w:proofErr w:type="spellEnd"/>
            <w:r w:rsidRPr="00512DB4">
              <w:rPr>
                <w:b/>
                <w:bCs/>
                <w:spacing w:val="-2"/>
                <w:lang w:val="en-US" w:eastAsia="hi-IN" w:bidi="hi-IN"/>
              </w:rPr>
              <w:t xml:space="preserve"> redistribution (A)</w:t>
            </w:r>
          </w:p>
        </w:tc>
        <w:tc>
          <w:tcPr>
            <w:tcW w:w="1093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left="144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7 400</w:t>
            </w:r>
          </w:p>
        </w:tc>
        <w:tc>
          <w:tcPr>
            <w:tcW w:w="1094" w:type="dxa"/>
            <w:vAlign w:val="center"/>
          </w:tcPr>
          <w:p w:rsidR="00246268" w:rsidRPr="003F67EC" w:rsidRDefault="00D16459" w:rsidP="00D16459">
            <w:pPr>
              <w:autoSpaceDE w:val="0"/>
              <w:autoSpaceDN w:val="0"/>
              <w:ind w:right="10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 xml:space="preserve">  </w:t>
            </w:r>
            <w:r w:rsidR="00246268"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15 489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right="10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21 191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right="10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28 243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left="18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53 582</w:t>
            </w:r>
          </w:p>
        </w:tc>
      </w:tr>
      <w:tr w:rsidR="00246268" w:rsidTr="00C21310">
        <w:trPr>
          <w:trHeight w:val="340"/>
        </w:trPr>
        <w:tc>
          <w:tcPr>
            <w:tcW w:w="4077" w:type="dxa"/>
            <w:vAlign w:val="center"/>
          </w:tcPr>
          <w:p w:rsidR="00246268" w:rsidRPr="00512DB4" w:rsidRDefault="00246268" w:rsidP="00246268">
            <w:pPr>
              <w:pStyle w:val="Default"/>
              <w:suppressAutoHyphens/>
              <w:rPr>
                <w:lang w:val="en-US" w:eastAsia="hi-IN" w:bidi="hi-IN"/>
              </w:rPr>
            </w:pPr>
            <w:proofErr w:type="spellStart"/>
            <w:r w:rsidRPr="00512DB4">
              <w:rPr>
                <w:b/>
                <w:bCs/>
                <w:spacing w:val="-2"/>
                <w:lang w:val="en-US" w:eastAsia="hi-IN" w:bidi="hi-IN"/>
              </w:rPr>
              <w:t>Prélèvements</w:t>
            </w:r>
            <w:proofErr w:type="spellEnd"/>
            <w:r w:rsidR="003F67EC" w:rsidRPr="00512DB4">
              <w:rPr>
                <w:b/>
                <w:bCs/>
                <w:spacing w:val="-2"/>
                <w:lang w:val="en-US" w:eastAsia="hi-IN" w:bidi="hi-IN"/>
              </w:rPr>
              <w:t xml:space="preserve"> </w:t>
            </w:r>
            <w:proofErr w:type="spellStart"/>
            <w:r w:rsidR="003F67EC" w:rsidRPr="00512DB4">
              <w:rPr>
                <w:b/>
                <w:bCs/>
                <w:spacing w:val="-2"/>
                <w:lang w:val="en-US" w:eastAsia="hi-IN" w:bidi="hi-IN"/>
              </w:rPr>
              <w:t>obligatoires</w:t>
            </w:r>
            <w:proofErr w:type="spellEnd"/>
            <w:r w:rsidR="003F67EC" w:rsidRPr="00512DB4">
              <w:rPr>
                <w:b/>
                <w:bCs/>
                <w:spacing w:val="-2"/>
                <w:lang w:val="en-US" w:eastAsia="hi-IN" w:bidi="hi-IN"/>
              </w:rPr>
              <w:t xml:space="preserve"> </w:t>
            </w:r>
            <w:proofErr w:type="spellStart"/>
            <w:r w:rsidR="003F67EC" w:rsidRPr="00512DB4">
              <w:rPr>
                <w:b/>
                <w:bCs/>
                <w:spacing w:val="-2"/>
                <w:lang w:val="en-US" w:eastAsia="hi-IN" w:bidi="hi-IN"/>
              </w:rPr>
              <w:t>dont</w:t>
            </w:r>
            <w:proofErr w:type="spellEnd"/>
            <w:r w:rsidR="003F67EC" w:rsidRPr="00512DB4">
              <w:rPr>
                <w:b/>
                <w:bCs/>
                <w:spacing w:val="-2"/>
                <w:lang w:val="en-US" w:eastAsia="hi-IN" w:bidi="hi-IN"/>
              </w:rPr>
              <w:t xml:space="preserve"> :</w:t>
            </w:r>
          </w:p>
        </w:tc>
        <w:tc>
          <w:tcPr>
            <w:tcW w:w="1093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left="144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- 440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right="10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- 1 258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- 2 466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right="10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- 4 129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- 10 621</w:t>
            </w:r>
          </w:p>
        </w:tc>
      </w:tr>
      <w:tr w:rsidR="00246268" w:rsidRPr="003F67EC" w:rsidTr="00C21310">
        <w:trPr>
          <w:trHeight w:val="340"/>
        </w:trPr>
        <w:tc>
          <w:tcPr>
            <w:tcW w:w="4077" w:type="dxa"/>
            <w:tcBorders>
              <w:bottom w:val="nil"/>
            </w:tcBorders>
            <w:vAlign w:val="center"/>
          </w:tcPr>
          <w:p w:rsidR="00246268" w:rsidRPr="00512DB4" w:rsidRDefault="00246268" w:rsidP="00246268">
            <w:pPr>
              <w:pStyle w:val="Default"/>
              <w:suppressAutoHyphens/>
              <w:rPr>
                <w:i/>
                <w:lang w:eastAsia="hi-IN" w:bidi="hi-IN"/>
              </w:rPr>
            </w:pPr>
            <w:r w:rsidRPr="00512DB4">
              <w:rPr>
                <w:bCs/>
                <w:i/>
                <w:spacing w:val="-2"/>
                <w:lang w:eastAsia="hi-IN" w:bidi="hi-IN"/>
              </w:rPr>
              <w:t>Financement de la protection sociale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 w:rsidRPr="003F67EC">
              <w:rPr>
                <w:rFonts w:ascii="Times New Roman" w:hAnsi="Times New Roman" w:cs="Times New Roman"/>
                <w:i/>
                <w:iCs/>
                <w:spacing w:val="6"/>
                <w:szCs w:val="24"/>
              </w:rPr>
              <w:t xml:space="preserve">- </w:t>
            </w:r>
            <w:r w:rsidRPr="003F67EC">
              <w:rPr>
                <w:rFonts w:ascii="Times New Roman" w:hAnsi="Times New Roman" w:cs="Times New Roman"/>
                <w:i/>
                <w:spacing w:val="-2"/>
                <w:szCs w:val="24"/>
              </w:rPr>
              <w:t>521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spacing w:val="-2"/>
                <w:lang w:val="en-US" w:eastAsia="hi-IN" w:bidi="hi-IN"/>
              </w:rPr>
              <w:t>- 1 204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spacing w:val="-2"/>
                <w:lang w:val="en-US" w:eastAsia="hi-IN" w:bidi="hi-IN"/>
              </w:rPr>
              <w:t>- 2 021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 w:rsidRPr="003F67EC">
              <w:rPr>
                <w:rFonts w:ascii="Times New Roman" w:hAnsi="Times New Roman" w:cs="Times New Roman"/>
                <w:i/>
                <w:spacing w:val="-2"/>
                <w:szCs w:val="24"/>
              </w:rPr>
              <w:t>- 2 989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- 5 803</w:t>
            </w:r>
          </w:p>
        </w:tc>
      </w:tr>
      <w:tr w:rsidR="00246268" w:rsidRPr="003F67EC" w:rsidTr="00C21310">
        <w:trPr>
          <w:trHeight w:val="340"/>
        </w:trPr>
        <w:tc>
          <w:tcPr>
            <w:tcW w:w="4077" w:type="dxa"/>
            <w:tcBorders>
              <w:bottom w:val="nil"/>
            </w:tcBorders>
            <w:vAlign w:val="center"/>
          </w:tcPr>
          <w:p w:rsidR="00246268" w:rsidRPr="00512DB4" w:rsidRDefault="00246268" w:rsidP="00246268">
            <w:pPr>
              <w:pStyle w:val="Default"/>
              <w:suppressAutoHyphens/>
              <w:rPr>
                <w:i/>
                <w:lang w:val="en-US" w:eastAsia="hi-IN" w:bidi="hi-IN"/>
              </w:rPr>
            </w:pPr>
            <w:proofErr w:type="spellStart"/>
            <w:r w:rsidRPr="00512DB4">
              <w:rPr>
                <w:bCs/>
                <w:i/>
                <w:spacing w:val="-2"/>
                <w:lang w:val="en-US" w:eastAsia="hi-IN" w:bidi="hi-IN"/>
              </w:rPr>
              <w:t>Impôts</w:t>
            </w:r>
            <w:proofErr w:type="spellEnd"/>
            <w:r w:rsidRPr="00512DB4">
              <w:rPr>
                <w:bCs/>
                <w:i/>
                <w:spacing w:val="-2"/>
                <w:lang w:val="en-US" w:eastAsia="hi-IN" w:bidi="hi-IN"/>
              </w:rPr>
              <w:t xml:space="preserve"> directs </w:t>
            </w:r>
            <w:r w:rsidRPr="00512DB4">
              <w:rPr>
                <w:i/>
                <w:spacing w:val="2"/>
                <w:vertAlign w:val="superscript"/>
                <w:lang w:val="en-US" w:eastAsia="hi-IN" w:bidi="hi-IN"/>
              </w:rPr>
              <w:t>(3)</w:t>
            </w:r>
            <w:r w:rsidR="006C1CDE" w:rsidRPr="00512DB4">
              <w:rPr>
                <w:i/>
                <w:spacing w:val="2"/>
                <w:vertAlign w:val="superscript"/>
                <w:lang w:val="en-US" w:eastAsia="hi-IN" w:bidi="hi-IN"/>
              </w:rPr>
              <w:t xml:space="preserve"> 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 w:rsidRPr="003F67EC">
              <w:rPr>
                <w:rFonts w:ascii="Times New Roman" w:hAnsi="Times New Roman" w:cs="Times New Roman"/>
                <w:i/>
                <w:spacing w:val="-2"/>
                <w:szCs w:val="24"/>
              </w:rPr>
              <w:t>81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spacing w:before="36"/>
              <w:ind w:right="36"/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 w:rsidRPr="003F67EC">
              <w:rPr>
                <w:rFonts w:ascii="Times New Roman" w:hAnsi="Times New Roman" w:cs="Times New Roman"/>
                <w:i/>
                <w:iCs/>
                <w:spacing w:val="10"/>
                <w:szCs w:val="24"/>
              </w:rPr>
              <w:t xml:space="preserve">- </w:t>
            </w:r>
            <w:r w:rsidRPr="003F67EC">
              <w:rPr>
                <w:rFonts w:ascii="Times New Roman" w:hAnsi="Times New Roman" w:cs="Times New Roman"/>
                <w:i/>
                <w:spacing w:val="-2"/>
                <w:szCs w:val="24"/>
              </w:rPr>
              <w:t>54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spacing w:before="36"/>
              <w:ind w:right="36"/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 w:rsidRPr="003F67EC">
              <w:rPr>
                <w:rFonts w:ascii="Times New Roman" w:hAnsi="Times New Roman" w:cs="Times New Roman"/>
                <w:i/>
                <w:iCs/>
                <w:spacing w:val="10"/>
                <w:szCs w:val="24"/>
              </w:rPr>
              <w:t xml:space="preserve">- </w:t>
            </w:r>
            <w:r w:rsidRPr="003F67EC">
              <w:rPr>
                <w:rFonts w:ascii="Times New Roman" w:hAnsi="Times New Roman" w:cs="Times New Roman"/>
                <w:i/>
                <w:spacing w:val="-2"/>
                <w:szCs w:val="24"/>
              </w:rPr>
              <w:t>446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- 1 140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- 4 817</w:t>
            </w:r>
          </w:p>
        </w:tc>
      </w:tr>
      <w:tr w:rsidR="00246268" w:rsidTr="00C21310">
        <w:trPr>
          <w:trHeight w:val="340"/>
        </w:trPr>
        <w:tc>
          <w:tcPr>
            <w:tcW w:w="4077" w:type="dxa"/>
            <w:tcBorders>
              <w:bottom w:val="nil"/>
            </w:tcBorders>
            <w:vAlign w:val="center"/>
          </w:tcPr>
          <w:p w:rsidR="00246268" w:rsidRPr="00512DB4" w:rsidRDefault="003F67EC" w:rsidP="00246268">
            <w:pPr>
              <w:pStyle w:val="Default"/>
              <w:suppressAutoHyphens/>
              <w:rPr>
                <w:lang w:val="en-US" w:eastAsia="hi-IN" w:bidi="hi-IN"/>
              </w:rPr>
            </w:pPr>
            <w:proofErr w:type="spellStart"/>
            <w:r w:rsidRPr="00512DB4">
              <w:rPr>
                <w:b/>
                <w:bCs/>
                <w:spacing w:val="-2"/>
                <w:lang w:val="en-US" w:eastAsia="hi-IN" w:bidi="hi-IN"/>
              </w:rPr>
              <w:t>Prestations</w:t>
            </w:r>
            <w:proofErr w:type="spellEnd"/>
            <w:r w:rsidR="006C1CDE" w:rsidRPr="00512DB4">
              <w:rPr>
                <w:b/>
                <w:bCs/>
                <w:spacing w:val="-2"/>
                <w:lang w:val="en-US" w:eastAsia="hi-IN" w:bidi="hi-IN"/>
              </w:rPr>
              <w:t xml:space="preserve"> </w:t>
            </w:r>
            <w:proofErr w:type="spellStart"/>
            <w:r w:rsidR="006C1CDE" w:rsidRPr="00512DB4">
              <w:rPr>
                <w:b/>
                <w:bCs/>
                <w:spacing w:val="-2"/>
                <w:lang w:val="en-US" w:eastAsia="hi-IN" w:bidi="hi-IN"/>
              </w:rPr>
              <w:t>dont</w:t>
            </w:r>
            <w:proofErr w:type="spellEnd"/>
            <w:r w:rsidR="006C1CDE" w:rsidRPr="00512DB4">
              <w:rPr>
                <w:b/>
                <w:bCs/>
                <w:spacing w:val="-2"/>
                <w:lang w:val="en-US" w:eastAsia="hi-IN" w:bidi="hi-IN"/>
              </w:rPr>
              <w:t xml:space="preserve"> :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b/>
                <w:lang w:val="en-US" w:eastAsia="hi-IN" w:bidi="hi-IN"/>
              </w:rPr>
            </w:pPr>
            <w:r w:rsidRPr="00512DB4">
              <w:rPr>
                <w:b/>
                <w:lang w:val="en-US" w:eastAsia="hi-IN" w:bidi="hi-IN"/>
              </w:rPr>
              <w:t>4 332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b/>
                <w:lang w:val="en-US" w:eastAsia="hi-IN" w:bidi="hi-IN"/>
              </w:rPr>
            </w:pPr>
            <w:r w:rsidRPr="00512DB4">
              <w:rPr>
                <w:b/>
                <w:lang w:val="en-US" w:eastAsia="hi-IN" w:bidi="hi-IN"/>
              </w:rPr>
              <w:t>1 418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b/>
                <w:lang w:val="en-US" w:eastAsia="hi-IN" w:bidi="hi-IN"/>
              </w:rPr>
            </w:pPr>
            <w:r w:rsidRPr="00512DB4">
              <w:rPr>
                <w:b/>
                <w:lang w:val="en-US" w:eastAsia="hi-IN" w:bidi="hi-IN"/>
              </w:rPr>
              <w:t>1 067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b/>
                <w:lang w:val="en-US" w:eastAsia="hi-IN" w:bidi="hi-IN"/>
              </w:rPr>
            </w:pPr>
            <w:r w:rsidRPr="00512DB4">
              <w:rPr>
                <w:b/>
                <w:lang w:val="en-US" w:eastAsia="hi-IN" w:bidi="hi-IN"/>
              </w:rPr>
              <w:t>819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b/>
                <w:lang w:val="en-US" w:eastAsia="hi-IN" w:bidi="hi-IN"/>
              </w:rPr>
            </w:pPr>
            <w:r w:rsidRPr="00512DB4">
              <w:rPr>
                <w:b/>
                <w:lang w:val="en-US" w:eastAsia="hi-IN" w:bidi="hi-IN"/>
              </w:rPr>
              <w:t>600</w:t>
            </w:r>
          </w:p>
        </w:tc>
      </w:tr>
      <w:tr w:rsidR="00246268" w:rsidRPr="003F67EC" w:rsidTr="00C21310">
        <w:trPr>
          <w:trHeight w:val="340"/>
        </w:trPr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246268">
            <w:pPr>
              <w:pStyle w:val="Default"/>
              <w:suppressAutoHyphens/>
              <w:rPr>
                <w:i/>
                <w:lang w:val="en-US" w:eastAsia="hi-IN" w:bidi="hi-IN"/>
              </w:rPr>
            </w:pPr>
            <w:proofErr w:type="spellStart"/>
            <w:r w:rsidRPr="00512DB4">
              <w:rPr>
                <w:i/>
                <w:iCs/>
                <w:spacing w:val="6"/>
                <w:lang w:val="en-US" w:eastAsia="hi-IN" w:bidi="hi-IN"/>
              </w:rPr>
              <w:t>Prestations</w:t>
            </w:r>
            <w:proofErr w:type="spellEnd"/>
            <w:r w:rsidRPr="00512DB4">
              <w:rPr>
                <w:i/>
                <w:iCs/>
                <w:spacing w:val="6"/>
                <w:lang w:val="en-US" w:eastAsia="hi-IN" w:bidi="hi-IN"/>
              </w:rPr>
              <w:t xml:space="preserve"> </w:t>
            </w:r>
            <w:proofErr w:type="spellStart"/>
            <w:r w:rsidRPr="00512DB4">
              <w:rPr>
                <w:i/>
                <w:iCs/>
                <w:spacing w:val="6"/>
                <w:lang w:val="en-US" w:eastAsia="hi-IN" w:bidi="hi-IN"/>
              </w:rPr>
              <w:t>familiales</w:t>
            </w:r>
            <w:proofErr w:type="spellEnd"/>
          </w:p>
        </w:tc>
        <w:tc>
          <w:tcPr>
            <w:tcW w:w="1093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1 522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851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834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705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543</w:t>
            </w:r>
          </w:p>
        </w:tc>
      </w:tr>
      <w:tr w:rsidR="00246268" w:rsidRPr="003F67EC" w:rsidTr="00C21310">
        <w:trPr>
          <w:trHeight w:val="340"/>
        </w:trPr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246268">
            <w:pPr>
              <w:pStyle w:val="Default"/>
              <w:suppressAutoHyphens/>
              <w:rPr>
                <w:i/>
                <w:lang w:val="en-US" w:eastAsia="hi-IN" w:bidi="hi-IN"/>
              </w:rPr>
            </w:pPr>
            <w:r w:rsidRPr="00512DB4">
              <w:rPr>
                <w:i/>
                <w:iCs/>
                <w:spacing w:val="6"/>
                <w:lang w:val="en-US" w:eastAsia="hi-IN" w:bidi="hi-IN"/>
              </w:rPr>
              <w:t xml:space="preserve">Aides au </w:t>
            </w:r>
            <w:proofErr w:type="spellStart"/>
            <w:r w:rsidRPr="00512DB4">
              <w:rPr>
                <w:i/>
                <w:iCs/>
                <w:spacing w:val="6"/>
                <w:lang w:val="en-US" w:eastAsia="hi-IN" w:bidi="hi-IN"/>
              </w:rPr>
              <w:t>logement</w:t>
            </w:r>
            <w:proofErr w:type="spellEnd"/>
          </w:p>
        </w:tc>
        <w:tc>
          <w:tcPr>
            <w:tcW w:w="1093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1 284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269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102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42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20</w:t>
            </w:r>
          </w:p>
        </w:tc>
      </w:tr>
      <w:tr w:rsidR="00246268" w:rsidRPr="003F67EC" w:rsidTr="00C21310">
        <w:trPr>
          <w:trHeight w:val="340"/>
        </w:trPr>
        <w:tc>
          <w:tcPr>
            <w:tcW w:w="4077" w:type="dxa"/>
            <w:tcBorders>
              <w:top w:val="nil"/>
            </w:tcBorders>
            <w:vAlign w:val="center"/>
          </w:tcPr>
          <w:p w:rsidR="00246268" w:rsidRPr="00512DB4" w:rsidRDefault="00246268" w:rsidP="00246268">
            <w:pPr>
              <w:pStyle w:val="Default"/>
              <w:suppressAutoHyphens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 xml:space="preserve">Minima </w:t>
            </w:r>
            <w:proofErr w:type="spellStart"/>
            <w:r w:rsidRPr="00512DB4">
              <w:rPr>
                <w:i/>
                <w:lang w:val="en-US" w:eastAsia="hi-IN" w:bidi="hi-IN"/>
              </w:rPr>
              <w:t>sociaux</w:t>
            </w:r>
            <w:proofErr w:type="spellEnd"/>
          </w:p>
        </w:tc>
        <w:tc>
          <w:tcPr>
            <w:tcW w:w="1093" w:type="dxa"/>
            <w:tcBorders>
              <w:top w:val="nil"/>
            </w:tcBorders>
            <w:vAlign w:val="center"/>
          </w:tcPr>
          <w:p w:rsidR="00246268" w:rsidRPr="00512DB4" w:rsidRDefault="00EB3B8A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EB3B8A">
              <w:rPr>
                <w:b/>
                <w:bCs/>
                <w:noProof/>
                <w:spacing w:val="-2"/>
              </w:rPr>
              <w:pict>
                <v:roundrect id="_x0000_s1028" style="position:absolute;left:0;text-align:left;margin-left:4.75pt;margin-top:17.55pt;width:40pt;height:21.75pt;z-index:-251659264;mso-position-horizontal-relative:text;mso-position-vertical-relative:text" arcsize="10923f"/>
              </w:pict>
            </w:r>
            <w:r w:rsidR="00246268" w:rsidRPr="00512DB4">
              <w:rPr>
                <w:i/>
                <w:lang w:val="en-US" w:eastAsia="hi-IN" w:bidi="hi-IN"/>
              </w:rPr>
              <w:t>1 237</w:t>
            </w:r>
          </w:p>
        </w:tc>
        <w:tc>
          <w:tcPr>
            <w:tcW w:w="1094" w:type="dxa"/>
            <w:tcBorders>
              <w:top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175</w:t>
            </w:r>
          </w:p>
        </w:tc>
        <w:tc>
          <w:tcPr>
            <w:tcW w:w="1094" w:type="dxa"/>
            <w:tcBorders>
              <w:top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73</w:t>
            </w:r>
          </w:p>
        </w:tc>
        <w:tc>
          <w:tcPr>
            <w:tcW w:w="1094" w:type="dxa"/>
            <w:tcBorders>
              <w:top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46</w:t>
            </w:r>
          </w:p>
        </w:tc>
        <w:tc>
          <w:tcPr>
            <w:tcW w:w="1094" w:type="dxa"/>
            <w:tcBorders>
              <w:top w:val="nil"/>
            </w:tcBorders>
            <w:vAlign w:val="center"/>
          </w:tcPr>
          <w:p w:rsidR="00246268" w:rsidRPr="00512DB4" w:rsidRDefault="00246268" w:rsidP="00D16459">
            <w:pPr>
              <w:pStyle w:val="Default"/>
              <w:suppressAutoHyphens/>
              <w:jc w:val="right"/>
              <w:rPr>
                <w:i/>
                <w:lang w:val="en-US" w:eastAsia="hi-IN" w:bidi="hi-IN"/>
              </w:rPr>
            </w:pPr>
            <w:r w:rsidRPr="00512DB4">
              <w:rPr>
                <w:i/>
                <w:lang w:val="en-US" w:eastAsia="hi-IN" w:bidi="hi-IN"/>
              </w:rPr>
              <w:t>25</w:t>
            </w:r>
          </w:p>
        </w:tc>
      </w:tr>
      <w:tr w:rsidR="00246268" w:rsidTr="00C21310">
        <w:trPr>
          <w:trHeight w:val="340"/>
        </w:trPr>
        <w:tc>
          <w:tcPr>
            <w:tcW w:w="4077" w:type="dxa"/>
            <w:vAlign w:val="center"/>
          </w:tcPr>
          <w:p w:rsidR="00246268" w:rsidRPr="00512DB4" w:rsidRDefault="00D04806" w:rsidP="00246268">
            <w:pPr>
              <w:pStyle w:val="Default"/>
              <w:suppressAutoHyphens/>
              <w:rPr>
                <w:lang w:eastAsia="hi-IN" w:bidi="hi-IN"/>
              </w:rPr>
            </w:pPr>
            <w:r w:rsidRPr="00512DB4">
              <w:rPr>
                <w:b/>
                <w:bCs/>
                <w:spacing w:val="-2"/>
                <w:lang w:eastAsia="hi-IN" w:bidi="hi-IN"/>
              </w:rPr>
              <w:t xml:space="preserve">Revenu </w:t>
            </w:r>
            <w:r w:rsidR="00246268" w:rsidRPr="00512DB4">
              <w:rPr>
                <w:b/>
                <w:bCs/>
                <w:spacing w:val="-2"/>
                <w:lang w:eastAsia="hi-IN" w:bidi="hi-IN"/>
              </w:rPr>
              <w:t xml:space="preserve">après </w:t>
            </w:r>
            <w:r w:rsidRPr="00512DB4">
              <w:rPr>
                <w:b/>
                <w:bCs/>
                <w:spacing w:val="-2"/>
                <w:lang w:eastAsia="hi-IN" w:bidi="hi-IN"/>
              </w:rPr>
              <w:t>redistribution</w:t>
            </w:r>
            <w:r w:rsidR="00246268" w:rsidRPr="00512DB4">
              <w:rPr>
                <w:b/>
                <w:bCs/>
                <w:spacing w:val="-2"/>
                <w:lang w:eastAsia="hi-IN" w:bidi="hi-IN"/>
              </w:rPr>
              <w:t xml:space="preserve"> (B)</w:t>
            </w:r>
          </w:p>
        </w:tc>
        <w:tc>
          <w:tcPr>
            <w:tcW w:w="1093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11 29</w:t>
            </w:r>
            <w:r w:rsidR="00D16459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15 649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19 792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24 933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left="18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43 561</w:t>
            </w:r>
          </w:p>
        </w:tc>
      </w:tr>
      <w:tr w:rsidR="00246268" w:rsidTr="00C21310">
        <w:trPr>
          <w:trHeight w:val="340"/>
        </w:trPr>
        <w:tc>
          <w:tcPr>
            <w:tcW w:w="4077" w:type="dxa"/>
            <w:vAlign w:val="center"/>
          </w:tcPr>
          <w:p w:rsidR="00246268" w:rsidRPr="00512DB4" w:rsidRDefault="00246268" w:rsidP="003F67EC">
            <w:pPr>
              <w:pStyle w:val="Default"/>
              <w:suppressAutoHyphens/>
              <w:rPr>
                <w:lang w:eastAsia="hi-IN" w:bidi="hi-IN"/>
              </w:rPr>
            </w:pPr>
            <w:r w:rsidRPr="00512DB4">
              <w:rPr>
                <w:b/>
                <w:bCs/>
                <w:spacing w:val="-2"/>
                <w:lang w:eastAsia="hi-IN" w:bidi="hi-IN"/>
              </w:rPr>
              <w:t>Taux de redistribution (B-A)/A   en %</w:t>
            </w:r>
          </w:p>
        </w:tc>
        <w:tc>
          <w:tcPr>
            <w:tcW w:w="1093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left="216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52,6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left="28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1,0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right="10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- 6,6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right="108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- 11,7</w:t>
            </w:r>
          </w:p>
        </w:tc>
        <w:tc>
          <w:tcPr>
            <w:tcW w:w="1094" w:type="dxa"/>
            <w:vAlign w:val="center"/>
          </w:tcPr>
          <w:p w:rsidR="00246268" w:rsidRPr="003F67EC" w:rsidRDefault="00246268" w:rsidP="00D16459">
            <w:pPr>
              <w:autoSpaceDE w:val="0"/>
              <w:autoSpaceDN w:val="0"/>
              <w:ind w:left="180"/>
              <w:jc w:val="right"/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</w:pPr>
            <w:r w:rsidRPr="003F67EC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- 18,7</w:t>
            </w:r>
          </w:p>
        </w:tc>
      </w:tr>
    </w:tbl>
    <w:p w:rsidR="00246268" w:rsidRPr="00C21310" w:rsidRDefault="00246268" w:rsidP="003E2261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21310">
        <w:rPr>
          <w:rFonts w:ascii="Times New Roman" w:hAnsi="Times New Roman" w:cs="Times New Roman"/>
          <w:sz w:val="22"/>
          <w:szCs w:val="22"/>
          <w:lang w:val="fr-FR"/>
        </w:rPr>
        <w:t>Source : D'après « France Portrait social 2011 », INSEE.</w:t>
      </w:r>
    </w:p>
    <w:p w:rsidR="00246268" w:rsidRPr="00B1246D" w:rsidRDefault="00246268" w:rsidP="00B1246D">
      <w:pPr>
        <w:rPr>
          <w:rFonts w:ascii="Times New Roman" w:hAnsi="Times New Roman" w:cs="Times New Roman"/>
          <w:sz w:val="20"/>
          <w:lang w:val="fr-FR"/>
        </w:rPr>
      </w:pPr>
      <w:r w:rsidRPr="00713076">
        <w:rPr>
          <w:rFonts w:ascii="Times New Roman" w:hAnsi="Times New Roman" w:cs="Times New Roman"/>
          <w:sz w:val="20"/>
          <w:vertAlign w:val="superscript"/>
          <w:lang w:val="fr-FR"/>
        </w:rPr>
        <w:t>(1)</w:t>
      </w:r>
      <w:r w:rsidRPr="00B1246D">
        <w:rPr>
          <w:rFonts w:ascii="Times New Roman" w:hAnsi="Times New Roman" w:cs="Times New Roman"/>
          <w:sz w:val="20"/>
          <w:lang w:val="fr-FR"/>
        </w:rPr>
        <w:t>Revenu moyen qui tient compte de la composition des ménages.</w:t>
      </w:r>
    </w:p>
    <w:p w:rsidR="00B1246D" w:rsidRDefault="00246268" w:rsidP="003F67EC">
      <w:pPr>
        <w:autoSpaceDE w:val="0"/>
        <w:autoSpaceDN w:val="0"/>
        <w:ind w:right="72"/>
        <w:jc w:val="both"/>
        <w:rPr>
          <w:rFonts w:ascii="Times New Roman" w:hAnsi="Times New Roman" w:cs="Times New Roman"/>
          <w:spacing w:val="-2"/>
          <w:sz w:val="20"/>
          <w:lang w:val="fr-FR"/>
        </w:rPr>
      </w:pPr>
      <w:r w:rsidRPr="003F67EC">
        <w:rPr>
          <w:rFonts w:ascii="Times New Roman" w:hAnsi="Times New Roman" w:cs="Times New Roman"/>
          <w:spacing w:val="-2"/>
          <w:sz w:val="20"/>
          <w:vertAlign w:val="superscript"/>
          <w:lang w:val="fr-FR"/>
        </w:rPr>
        <w:t>(2)</w:t>
      </w:r>
      <w:r w:rsidRPr="003F67EC">
        <w:rPr>
          <w:rFonts w:ascii="Times New Roman" w:hAnsi="Times New Roman" w:cs="Times New Roman"/>
          <w:spacing w:val="-2"/>
          <w:sz w:val="20"/>
          <w:lang w:val="fr-FR"/>
        </w:rPr>
        <w:t xml:space="preserve">L'ensemble des ménages a été réparti dans cinq catégories de taille égale (20% des ménages) ordonnées selon le revenu. </w:t>
      </w:r>
    </w:p>
    <w:p w:rsidR="00246268" w:rsidRPr="003F67EC" w:rsidRDefault="00246268" w:rsidP="003F67EC">
      <w:pPr>
        <w:autoSpaceDE w:val="0"/>
        <w:autoSpaceDN w:val="0"/>
        <w:ind w:right="72"/>
        <w:jc w:val="both"/>
        <w:rPr>
          <w:rFonts w:ascii="Times New Roman" w:hAnsi="Times New Roman" w:cs="Times New Roman"/>
          <w:spacing w:val="-2"/>
          <w:sz w:val="20"/>
          <w:lang w:val="fr-FR"/>
        </w:rPr>
      </w:pPr>
      <w:r w:rsidRPr="003F67EC">
        <w:rPr>
          <w:rFonts w:ascii="Times New Roman" w:hAnsi="Times New Roman" w:cs="Times New Roman"/>
          <w:spacing w:val="-2"/>
          <w:sz w:val="20"/>
          <w:lang w:val="fr-FR"/>
        </w:rPr>
        <w:t>Q1 : 20% des plus modestes. Q5 : 20% des plus riches.</w:t>
      </w:r>
    </w:p>
    <w:p w:rsidR="00CC6BFE" w:rsidRPr="003F67EC" w:rsidRDefault="00246268" w:rsidP="003F67EC">
      <w:pPr>
        <w:autoSpaceDE w:val="0"/>
        <w:autoSpaceDN w:val="0"/>
        <w:jc w:val="both"/>
        <w:rPr>
          <w:rFonts w:ascii="Times New Roman" w:hAnsi="Times New Roman" w:cs="Times New Roman"/>
          <w:spacing w:val="-2"/>
          <w:sz w:val="20"/>
          <w:lang w:val="fr-FR"/>
        </w:rPr>
      </w:pPr>
      <w:r w:rsidRPr="003F67EC">
        <w:rPr>
          <w:rFonts w:ascii="Times New Roman" w:hAnsi="Times New Roman" w:cs="Times New Roman"/>
          <w:spacing w:val="-2"/>
          <w:sz w:val="20"/>
          <w:vertAlign w:val="superscript"/>
          <w:lang w:val="fr-FR"/>
        </w:rPr>
        <w:t>(3)</w:t>
      </w:r>
      <w:r w:rsidRPr="003F67EC">
        <w:rPr>
          <w:rFonts w:ascii="Times New Roman" w:hAnsi="Times New Roman" w:cs="Times New Roman"/>
          <w:spacing w:val="-2"/>
          <w:sz w:val="20"/>
          <w:lang w:val="fr-FR"/>
        </w:rPr>
        <w:t>Les impôts directs sont les impôts payés directement par le contribuable.</w:t>
      </w:r>
      <w:r w:rsidR="003F67EC">
        <w:rPr>
          <w:rFonts w:ascii="Times New Roman" w:hAnsi="Times New Roman" w:cs="Times New Roman"/>
          <w:spacing w:val="-2"/>
          <w:sz w:val="20"/>
          <w:lang w:val="fr-FR"/>
        </w:rPr>
        <w:t xml:space="preserve"> </w:t>
      </w:r>
      <w:r w:rsidR="003F67EC" w:rsidRPr="003F67EC">
        <w:rPr>
          <w:rFonts w:ascii="Times New Roman" w:hAnsi="Times New Roman" w:cs="Times New Roman"/>
          <w:spacing w:val="-2"/>
          <w:sz w:val="20"/>
          <w:lang w:val="fr-FR"/>
        </w:rPr>
        <w:t>Les ménages à bas revenu ne payant pas d'impôts sur le revenu peuvent bénéficier de versements au titre de « crédits d'impôts » et de la « prime pour l'emploi » versée aux actifs occupés ayant perçu des revenus professionnels en dessous d'un certain seuil de revenu.</w:t>
      </w:r>
    </w:p>
    <w:p w:rsidR="003F67EC" w:rsidRDefault="003F6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CC6BFE" w:rsidRPr="00334441" w:rsidRDefault="00CC6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</w:pPr>
      <w:r w:rsidRPr="00334441"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  <w:t>DOCUMENT 2</w:t>
      </w:r>
    </w:p>
    <w:p w:rsidR="0054480B" w:rsidRPr="003E2261" w:rsidRDefault="0054480B" w:rsidP="0054480B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3E2261">
        <w:rPr>
          <w:rFonts w:ascii="Times New Roman" w:hAnsi="Times New Roman" w:cs="Times New Roman"/>
          <w:sz w:val="22"/>
          <w:szCs w:val="22"/>
          <w:lang w:val="fr-FR"/>
        </w:rPr>
        <w:t xml:space="preserve">La redistribution réduit effectivement les inégalités des revenus disponibles, principalement par la protection sociale, puis par l'offre de services publics, et de manière plus faible par la fiscalité. </w:t>
      </w:r>
    </w:p>
    <w:p w:rsidR="0054480B" w:rsidRPr="00B1246D" w:rsidRDefault="0054480B" w:rsidP="0054480B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B1246D">
        <w:rPr>
          <w:rFonts w:ascii="Times New Roman" w:hAnsi="Times New Roman" w:cs="Times New Roman"/>
          <w:sz w:val="22"/>
          <w:szCs w:val="22"/>
          <w:lang w:val="fr-FR"/>
        </w:rPr>
        <w:t xml:space="preserve">Les services publics étant rendus à titre gratuit sont financés par l'impôt. Tous les ménages payant un montant d'impôt différent, la délivrance d'un service public conduit à redistribuer les revenus verticalement. </w:t>
      </w:r>
      <w:r w:rsidRPr="003E2261">
        <w:rPr>
          <w:rFonts w:ascii="Times New Roman" w:hAnsi="Times New Roman" w:cs="Times New Roman"/>
          <w:sz w:val="22"/>
          <w:szCs w:val="22"/>
          <w:lang w:val="fr-FR"/>
        </w:rPr>
        <w:t xml:space="preserve">Le ménage qui ne paie pas d'impôt bénéficie des services publics au même titre que les autres ménages. </w:t>
      </w:r>
      <w:r w:rsidRPr="00B1246D">
        <w:rPr>
          <w:rFonts w:ascii="Times New Roman" w:hAnsi="Times New Roman" w:cs="Times New Roman"/>
          <w:sz w:val="22"/>
          <w:szCs w:val="22"/>
          <w:lang w:val="fr-FR"/>
        </w:rPr>
        <w:t>En quelque sorte, les autres ménages lui ont versé une partie de leur revenu pour qu'il puisse payer les services publics.</w:t>
      </w:r>
      <w:r w:rsidR="00B1246D" w:rsidRPr="00B1246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B1246D">
        <w:rPr>
          <w:rFonts w:ascii="Times New Roman" w:hAnsi="Times New Roman" w:cs="Times New Roman"/>
          <w:sz w:val="22"/>
          <w:szCs w:val="22"/>
          <w:lang w:val="fr-FR"/>
        </w:rPr>
        <w:t xml:space="preserve">Les services publics donnent également lieu à une redistribution horizontale de revenu, dans la mesure où ils profitent davantage à ceux qui les utilisent qu'à ceux qui n'y ont pas recours. </w:t>
      </w:r>
    </w:p>
    <w:p w:rsidR="00B1246D" w:rsidRDefault="003E2261" w:rsidP="003E2261">
      <w:pPr>
        <w:rPr>
          <w:rFonts w:ascii="Times New Roman" w:hAnsi="Times New Roman" w:cs="Times New Roman"/>
          <w:sz w:val="22"/>
          <w:szCs w:val="22"/>
          <w:lang w:val="fr-FR" w:eastAsia="fr-FR"/>
        </w:rPr>
      </w:pPr>
      <w:r>
        <w:rPr>
          <w:rFonts w:ascii="Times New Roman" w:hAnsi="Times New Roman" w:cs="Times New Roman"/>
          <w:sz w:val="22"/>
          <w:szCs w:val="22"/>
          <w:lang w:val="fr-FR" w:eastAsia="fr-FR"/>
        </w:rPr>
        <w:t xml:space="preserve">Source : </w:t>
      </w:r>
      <w:r w:rsidR="00B1246D" w:rsidRPr="00B1246D">
        <w:rPr>
          <w:rFonts w:ascii="Times New Roman" w:hAnsi="Times New Roman" w:cs="Times New Roman"/>
          <w:sz w:val="22"/>
          <w:szCs w:val="22"/>
          <w:lang w:val="fr-FR" w:eastAsia="fr-FR"/>
        </w:rPr>
        <w:t>Par Jean-Pierre TESTENOIRE,  actualisé par Marie BERRAH © CERPEG 2013</w:t>
      </w:r>
      <w:r w:rsidR="00B1246D">
        <w:rPr>
          <w:rFonts w:ascii="Times New Roman" w:hAnsi="Times New Roman" w:cs="Times New Roman"/>
          <w:sz w:val="22"/>
          <w:szCs w:val="22"/>
          <w:lang w:val="fr-FR" w:eastAsia="fr-FR"/>
        </w:rPr>
        <w:t xml:space="preserve">, </w:t>
      </w:r>
    </w:p>
    <w:p w:rsidR="00B1246D" w:rsidRPr="00B1246D" w:rsidRDefault="00B1246D" w:rsidP="003E2261">
      <w:pPr>
        <w:rPr>
          <w:rFonts w:ascii="Times New Roman" w:hAnsi="Times New Roman" w:cs="Times New Roman"/>
          <w:sz w:val="22"/>
          <w:szCs w:val="22"/>
          <w:lang w:val="fr-FR" w:eastAsia="fr-FR"/>
        </w:rPr>
      </w:pPr>
      <w:r w:rsidRPr="00B1246D">
        <w:rPr>
          <w:rFonts w:ascii="Arial" w:hAnsi="Arial" w:cs="Arial"/>
          <w:color w:val="006621"/>
          <w:sz w:val="17"/>
          <w:szCs w:val="17"/>
          <w:shd w:val="clear" w:color="auto" w:fill="FFFFFF"/>
          <w:lang w:val="fr-FR"/>
        </w:rPr>
        <w:t>www.cerpeg.ac-versailles.fr/IMG/docx/la_redistribution.docx</w:t>
      </w:r>
    </w:p>
    <w:p w:rsidR="0054480B" w:rsidRPr="0054480B" w:rsidRDefault="005448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sectPr w:rsidR="0054480B" w:rsidRPr="0054480B" w:rsidSect="00C823CE">
      <w:footerReference w:type="default" r:id="rId6"/>
      <w:pgSz w:w="11906" w:h="16838"/>
      <w:pgMar w:top="720" w:right="720" w:bottom="720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81" w:rsidRDefault="00F26281" w:rsidP="003B5463">
      <w:r>
        <w:separator/>
      </w:r>
    </w:p>
  </w:endnote>
  <w:endnote w:type="continuationSeparator" w:id="1">
    <w:p w:rsidR="00F26281" w:rsidRDefault="00F26281" w:rsidP="003B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63" w:rsidRPr="009C711D" w:rsidRDefault="003B5463" w:rsidP="003B5463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3B5463" w:rsidRPr="009C711D" w:rsidRDefault="003B5463" w:rsidP="003B5463">
    <w:pPr>
      <w:pStyle w:val="Pieddepage"/>
      <w:rPr>
        <w:sz w:val="20"/>
        <w:lang w:val="fr-FR"/>
      </w:rPr>
    </w:pPr>
  </w:p>
  <w:p w:rsidR="003B5463" w:rsidRPr="003B5463" w:rsidRDefault="003B5463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81" w:rsidRDefault="00F26281" w:rsidP="003B5463">
      <w:r>
        <w:separator/>
      </w:r>
    </w:p>
  </w:footnote>
  <w:footnote w:type="continuationSeparator" w:id="1">
    <w:p w:rsidR="00F26281" w:rsidRDefault="00F26281" w:rsidP="003B5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900AC"/>
    <w:rsid w:val="001E7D4A"/>
    <w:rsid w:val="00246268"/>
    <w:rsid w:val="002A5BA0"/>
    <w:rsid w:val="00334441"/>
    <w:rsid w:val="003A16BA"/>
    <w:rsid w:val="003B5463"/>
    <w:rsid w:val="003C400B"/>
    <w:rsid w:val="003D3AB2"/>
    <w:rsid w:val="003E2261"/>
    <w:rsid w:val="003F67EC"/>
    <w:rsid w:val="00454418"/>
    <w:rsid w:val="00512DB4"/>
    <w:rsid w:val="00520440"/>
    <w:rsid w:val="0054480B"/>
    <w:rsid w:val="00566F8A"/>
    <w:rsid w:val="005B5F72"/>
    <w:rsid w:val="006C1CDE"/>
    <w:rsid w:val="00702297"/>
    <w:rsid w:val="00713076"/>
    <w:rsid w:val="00726A2F"/>
    <w:rsid w:val="009042C7"/>
    <w:rsid w:val="00930702"/>
    <w:rsid w:val="00996289"/>
    <w:rsid w:val="00A43B63"/>
    <w:rsid w:val="00AC0BA0"/>
    <w:rsid w:val="00AC5C88"/>
    <w:rsid w:val="00AD640E"/>
    <w:rsid w:val="00B1246D"/>
    <w:rsid w:val="00BA5FEF"/>
    <w:rsid w:val="00C21310"/>
    <w:rsid w:val="00C823CE"/>
    <w:rsid w:val="00CC6BFE"/>
    <w:rsid w:val="00D04806"/>
    <w:rsid w:val="00D16459"/>
    <w:rsid w:val="00D954AF"/>
    <w:rsid w:val="00E167D7"/>
    <w:rsid w:val="00EB3B8A"/>
    <w:rsid w:val="00ED721C"/>
    <w:rsid w:val="00F03FC2"/>
    <w:rsid w:val="00F15C2A"/>
    <w:rsid w:val="00F2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18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454418"/>
  </w:style>
  <w:style w:type="character" w:customStyle="1" w:styleId="WW-Absatz-Standardschriftart">
    <w:name w:val="WW-Absatz-Standardschriftart"/>
    <w:rsid w:val="00454418"/>
  </w:style>
  <w:style w:type="character" w:customStyle="1" w:styleId="Policepardfaut1">
    <w:name w:val="Police par défaut1"/>
    <w:rsid w:val="00454418"/>
  </w:style>
  <w:style w:type="paragraph" w:customStyle="1" w:styleId="Titre10">
    <w:name w:val="Titre1"/>
    <w:basedOn w:val="Normal"/>
    <w:next w:val="Corpsdetexte"/>
    <w:rsid w:val="0045441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454418"/>
    <w:pPr>
      <w:spacing w:after="120"/>
    </w:pPr>
  </w:style>
  <w:style w:type="paragraph" w:styleId="Liste">
    <w:name w:val="List"/>
    <w:basedOn w:val="Corpsdetexte"/>
    <w:rsid w:val="00454418"/>
  </w:style>
  <w:style w:type="paragraph" w:customStyle="1" w:styleId="Lgende1">
    <w:name w:val="Légende1"/>
    <w:basedOn w:val="Normal"/>
    <w:rsid w:val="00454418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454418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  <w:style w:type="paragraph" w:customStyle="1" w:styleId="Default">
    <w:name w:val="Default"/>
    <w:rsid w:val="002462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80B"/>
    <w:pPr>
      <w:widowControl/>
      <w:suppressAutoHyphens w:val="0"/>
    </w:pPr>
    <w:rPr>
      <w:rFonts w:ascii="Calibri" w:eastAsia="Calibri" w:hAnsi="Calibri" w:cs="Times New Roman"/>
      <w:sz w:val="20"/>
      <w:lang w:val="fr-FR"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80B"/>
    <w:rPr>
      <w:rFonts w:ascii="Calibri" w:eastAsia="Calibri" w:hAnsi="Calibri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448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5</cp:revision>
  <cp:lastPrinted>2014-03-03T14:27:00Z</cp:lastPrinted>
  <dcterms:created xsi:type="dcterms:W3CDTF">2014-03-06T16:53:00Z</dcterms:created>
  <dcterms:modified xsi:type="dcterms:W3CDTF">2014-04-05T06:05:00Z</dcterms:modified>
</cp:coreProperties>
</file>