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4678"/>
        <w:gridCol w:w="2582"/>
      </w:tblGrid>
      <w:tr w:rsidR="00C10E77" w:rsidRPr="000A4F72" w:rsidTr="00821D6B">
        <w:tc>
          <w:tcPr>
            <w:tcW w:w="2518" w:type="dxa"/>
          </w:tcPr>
          <w:p w:rsidR="00C10E77" w:rsidRPr="000A4F72" w:rsidRDefault="00C10E77" w:rsidP="00821D6B">
            <w:pPr>
              <w:rPr>
                <w:rFonts w:ascii="Times New Roman" w:hAnsi="Times New Roman" w:cs="Times New Roman"/>
                <w:sz w:val="22"/>
                <w:szCs w:val="22"/>
                <w:lang w:val="fr-FR"/>
              </w:rPr>
            </w:pPr>
            <w:r w:rsidRPr="000A4F72">
              <w:rPr>
                <w:rFonts w:ascii="Times New Roman" w:hAnsi="Times New Roman" w:cs="Times New Roman"/>
                <w:b/>
                <w:sz w:val="22"/>
                <w:szCs w:val="22"/>
                <w:lang w:val="fr-FR"/>
              </w:rPr>
              <w:t>Académie d'AMIEN</w:t>
            </w:r>
            <w:r>
              <w:rPr>
                <w:rFonts w:ascii="Times New Roman" w:hAnsi="Times New Roman" w:cs="Times New Roman"/>
                <w:b/>
                <w:sz w:val="22"/>
                <w:szCs w:val="22"/>
                <w:lang w:val="fr-FR"/>
              </w:rPr>
              <w:t>S Baccalauréat ES - Session 2014</w:t>
            </w:r>
          </w:p>
        </w:tc>
        <w:tc>
          <w:tcPr>
            <w:tcW w:w="4678" w:type="dxa"/>
          </w:tcPr>
          <w:p w:rsidR="00C10E77" w:rsidRPr="000A4F72" w:rsidRDefault="00C10E77" w:rsidP="00821D6B">
            <w:pPr>
              <w:jc w:val="center"/>
              <w:rPr>
                <w:rFonts w:ascii="Times New Roman" w:hAnsi="Times New Roman" w:cs="Times New Roman"/>
                <w:b/>
                <w:sz w:val="22"/>
                <w:szCs w:val="22"/>
                <w:lang w:val="fr-FR"/>
              </w:rPr>
            </w:pPr>
            <w:r w:rsidRPr="000A4F72">
              <w:rPr>
                <w:rFonts w:ascii="Times New Roman" w:hAnsi="Times New Roman" w:cs="Times New Roman"/>
                <w:b/>
                <w:sz w:val="22"/>
                <w:szCs w:val="22"/>
                <w:lang w:val="fr-FR"/>
              </w:rPr>
              <w:t>Epreuve orale de Sciences économiques et sociales (Enseignement de spécialité « ECONOMIE APPROFONDIE » : coefficient 9)</w:t>
            </w:r>
          </w:p>
        </w:tc>
        <w:tc>
          <w:tcPr>
            <w:tcW w:w="2582" w:type="dxa"/>
          </w:tcPr>
          <w:p w:rsidR="00C10E77" w:rsidRPr="000A4F72" w:rsidRDefault="00C10E77" w:rsidP="00821D6B">
            <w:pPr>
              <w:rPr>
                <w:rFonts w:ascii="Times New Roman" w:hAnsi="Times New Roman" w:cs="Times New Roman"/>
                <w:sz w:val="22"/>
                <w:szCs w:val="22"/>
                <w:lang w:val="fr-FR"/>
              </w:rPr>
            </w:pPr>
            <w:r>
              <w:rPr>
                <w:rFonts w:ascii="Times New Roman" w:hAnsi="Times New Roman" w:cs="Times New Roman"/>
                <w:b/>
                <w:sz w:val="22"/>
                <w:szCs w:val="22"/>
              </w:rPr>
              <w:t xml:space="preserve">N° du </w:t>
            </w:r>
            <w:proofErr w:type="spellStart"/>
            <w:r>
              <w:rPr>
                <w:rFonts w:ascii="Times New Roman" w:hAnsi="Times New Roman" w:cs="Times New Roman"/>
                <w:b/>
                <w:sz w:val="22"/>
                <w:szCs w:val="22"/>
              </w:rPr>
              <w:t>sujet</w:t>
            </w:r>
            <w:proofErr w:type="spellEnd"/>
            <w:r>
              <w:rPr>
                <w:rFonts w:ascii="Times New Roman" w:hAnsi="Times New Roman" w:cs="Times New Roman"/>
                <w:b/>
                <w:sz w:val="22"/>
                <w:szCs w:val="22"/>
              </w:rPr>
              <w:t xml:space="preserve"> : 14</w:t>
            </w:r>
            <w:r w:rsidRPr="000A4F72">
              <w:rPr>
                <w:rFonts w:ascii="Times New Roman" w:hAnsi="Times New Roman" w:cs="Times New Roman"/>
                <w:b/>
                <w:sz w:val="22"/>
                <w:szCs w:val="22"/>
              </w:rPr>
              <w:t>c9-</w:t>
            </w:r>
            <w:r w:rsidR="000B1BC7">
              <w:rPr>
                <w:rFonts w:ascii="Times New Roman" w:hAnsi="Times New Roman" w:cs="Times New Roman"/>
                <w:b/>
                <w:sz w:val="22"/>
                <w:szCs w:val="22"/>
              </w:rPr>
              <w:t>2-12-1</w:t>
            </w:r>
          </w:p>
        </w:tc>
      </w:tr>
      <w:tr w:rsidR="00C10E77" w:rsidRPr="000A4F72" w:rsidTr="00821D6B">
        <w:tc>
          <w:tcPr>
            <w:tcW w:w="2518" w:type="dxa"/>
          </w:tcPr>
          <w:p w:rsidR="00C10E77" w:rsidRPr="000A4F72" w:rsidRDefault="00C10E77" w:rsidP="00821D6B">
            <w:pPr>
              <w:rPr>
                <w:rFonts w:ascii="Times New Roman" w:hAnsi="Times New Roman" w:cs="Times New Roman"/>
                <w:sz w:val="22"/>
                <w:szCs w:val="22"/>
                <w:lang w:val="fr-FR"/>
              </w:rPr>
            </w:pPr>
            <w:r w:rsidRPr="000A4F72">
              <w:rPr>
                <w:rFonts w:ascii="Times New Roman" w:hAnsi="Times New Roman" w:cs="Times New Roman"/>
                <w:sz w:val="22"/>
                <w:szCs w:val="22"/>
                <w:lang w:val="fr-FR"/>
              </w:rPr>
              <w:t>Durée de la préparation : 30 minutes</w:t>
            </w:r>
          </w:p>
        </w:tc>
        <w:tc>
          <w:tcPr>
            <w:tcW w:w="4678" w:type="dxa"/>
          </w:tcPr>
          <w:p w:rsidR="00C10E77" w:rsidRPr="000A4F72" w:rsidRDefault="00C10E77" w:rsidP="00821D6B">
            <w:pPr>
              <w:jc w:val="center"/>
              <w:rPr>
                <w:rFonts w:ascii="Times New Roman" w:hAnsi="Times New Roman" w:cs="Times New Roman"/>
                <w:b/>
                <w:sz w:val="22"/>
                <w:szCs w:val="22"/>
                <w:lang w:val="fr-FR"/>
              </w:rPr>
            </w:pPr>
            <w:r w:rsidRPr="000A4F72">
              <w:rPr>
                <w:rFonts w:ascii="Times New Roman" w:hAnsi="Times New Roman" w:cs="Times New Roman"/>
                <w:b/>
                <w:sz w:val="22"/>
                <w:szCs w:val="22"/>
                <w:lang w:val="fr-FR"/>
              </w:rPr>
              <w:t>Le candidat s’appuiera sur les 2 documents pour répondre à la question principale.</w:t>
            </w:r>
          </w:p>
          <w:p w:rsidR="00C10E77" w:rsidRPr="000A4F72" w:rsidRDefault="00C10E77" w:rsidP="00821D6B">
            <w:pPr>
              <w:jc w:val="center"/>
              <w:rPr>
                <w:rFonts w:ascii="Times New Roman" w:hAnsi="Times New Roman" w:cs="Times New Roman"/>
                <w:b/>
                <w:sz w:val="22"/>
                <w:szCs w:val="22"/>
                <w:lang w:val="fr-FR"/>
              </w:rPr>
            </w:pPr>
            <w:r w:rsidRPr="000A4F72">
              <w:rPr>
                <w:rFonts w:ascii="Times New Roman" w:hAnsi="Times New Roman" w:cs="Times New Roman"/>
                <w:b/>
                <w:sz w:val="22"/>
                <w:szCs w:val="22"/>
                <w:lang w:val="fr-FR"/>
              </w:rPr>
              <w:t>Les questions complémentaires 2 et 3 porteront sur l’enseignement de spécialité</w:t>
            </w:r>
          </w:p>
        </w:tc>
        <w:tc>
          <w:tcPr>
            <w:tcW w:w="2582" w:type="dxa"/>
          </w:tcPr>
          <w:p w:rsidR="00C10E77" w:rsidRPr="000A4F72" w:rsidRDefault="00C10E77" w:rsidP="00821D6B">
            <w:pPr>
              <w:rPr>
                <w:rFonts w:ascii="Times New Roman" w:hAnsi="Times New Roman" w:cs="Times New Roman"/>
                <w:sz w:val="22"/>
                <w:szCs w:val="22"/>
                <w:lang w:val="fr-FR"/>
              </w:rPr>
            </w:pPr>
            <w:proofErr w:type="spellStart"/>
            <w:r w:rsidRPr="000A4F72">
              <w:rPr>
                <w:rFonts w:ascii="Times New Roman" w:hAnsi="Times New Roman" w:cs="Times New Roman"/>
                <w:sz w:val="22"/>
                <w:szCs w:val="22"/>
              </w:rPr>
              <w:t>Durée</w:t>
            </w:r>
            <w:proofErr w:type="spellEnd"/>
            <w:r w:rsidRPr="000A4F72">
              <w:rPr>
                <w:rFonts w:ascii="Times New Roman" w:hAnsi="Times New Roman" w:cs="Times New Roman"/>
                <w:sz w:val="22"/>
                <w:szCs w:val="22"/>
              </w:rPr>
              <w:t xml:space="preserve"> de </w:t>
            </w:r>
            <w:proofErr w:type="spellStart"/>
            <w:r w:rsidRPr="000A4F72">
              <w:rPr>
                <w:rFonts w:ascii="Times New Roman" w:hAnsi="Times New Roman" w:cs="Times New Roman"/>
                <w:sz w:val="22"/>
                <w:szCs w:val="22"/>
              </w:rPr>
              <w:t>l'interrogation</w:t>
            </w:r>
            <w:proofErr w:type="spellEnd"/>
            <w:r w:rsidRPr="000A4F72">
              <w:rPr>
                <w:rFonts w:ascii="Times New Roman" w:hAnsi="Times New Roman" w:cs="Times New Roman"/>
                <w:sz w:val="22"/>
                <w:szCs w:val="22"/>
              </w:rPr>
              <w:t xml:space="preserve"> : 20 minutes</w:t>
            </w:r>
          </w:p>
        </w:tc>
      </w:tr>
      <w:tr w:rsidR="00C10E77" w:rsidRPr="000548ED" w:rsidTr="00821D6B">
        <w:tc>
          <w:tcPr>
            <w:tcW w:w="9778" w:type="dxa"/>
            <w:gridSpan w:val="3"/>
          </w:tcPr>
          <w:p w:rsidR="00C10E77" w:rsidRPr="000A4F72" w:rsidRDefault="00C10E77" w:rsidP="00821D6B">
            <w:pPr>
              <w:rPr>
                <w:rFonts w:ascii="Times New Roman" w:hAnsi="Times New Roman" w:cs="Times New Roman"/>
                <w:b/>
                <w:sz w:val="22"/>
                <w:szCs w:val="22"/>
                <w:lang w:val="fr-FR"/>
              </w:rPr>
            </w:pPr>
            <w:r w:rsidRPr="000A4F72">
              <w:rPr>
                <w:rFonts w:ascii="Times New Roman" w:hAnsi="Times New Roman" w:cs="Times New Roman"/>
                <w:b/>
                <w:sz w:val="22"/>
                <w:szCs w:val="22"/>
                <w:lang w:val="fr-FR"/>
              </w:rPr>
              <w:t>Thème de la question principale :</w:t>
            </w:r>
            <w:r>
              <w:rPr>
                <w:rFonts w:ascii="Times New Roman" w:hAnsi="Times New Roman" w:cs="Times New Roman"/>
                <w:b/>
                <w:sz w:val="22"/>
                <w:szCs w:val="22"/>
                <w:lang w:val="fr-FR"/>
              </w:rPr>
              <w:t xml:space="preserve"> Comment rendre compte de la mobilité sociale ?</w:t>
            </w:r>
          </w:p>
        </w:tc>
      </w:tr>
      <w:tr w:rsidR="00C10E77" w:rsidRPr="000548ED" w:rsidTr="00821D6B">
        <w:tc>
          <w:tcPr>
            <w:tcW w:w="9778" w:type="dxa"/>
            <w:gridSpan w:val="3"/>
          </w:tcPr>
          <w:p w:rsidR="00C10E77" w:rsidRPr="000A4F72" w:rsidRDefault="00C10E77" w:rsidP="00821D6B">
            <w:pPr>
              <w:rPr>
                <w:rFonts w:ascii="Times New Roman" w:hAnsi="Times New Roman" w:cs="Times New Roman"/>
                <w:b/>
                <w:sz w:val="22"/>
                <w:szCs w:val="22"/>
                <w:lang w:val="fr-FR"/>
              </w:rPr>
            </w:pPr>
            <w:r w:rsidRPr="000A4F72">
              <w:rPr>
                <w:rFonts w:ascii="Times New Roman" w:hAnsi="Times New Roman" w:cs="Times New Roman"/>
                <w:b/>
                <w:sz w:val="22"/>
                <w:szCs w:val="22"/>
                <w:lang w:val="fr-FR"/>
              </w:rPr>
              <w:t>Question principale (sur 10 points) :</w:t>
            </w:r>
            <w:r w:rsidR="000B1BC7">
              <w:rPr>
                <w:rFonts w:ascii="Times New Roman" w:hAnsi="Times New Roman" w:cs="Times New Roman"/>
                <w:b/>
                <w:sz w:val="22"/>
                <w:szCs w:val="22"/>
                <w:lang w:val="fr-FR"/>
              </w:rPr>
              <w:t xml:space="preserve"> V</w:t>
            </w:r>
            <w:r>
              <w:rPr>
                <w:rFonts w:ascii="Times New Roman" w:hAnsi="Times New Roman" w:cs="Times New Roman"/>
                <w:b/>
                <w:sz w:val="22"/>
                <w:szCs w:val="22"/>
                <w:lang w:val="fr-FR"/>
              </w:rPr>
              <w:t>ous analyserez le rôle de l’école dans la mobilité sociale</w:t>
            </w:r>
            <w:r w:rsidR="00EB0C60">
              <w:rPr>
                <w:rFonts w:ascii="Times New Roman" w:hAnsi="Times New Roman" w:cs="Times New Roman"/>
                <w:b/>
                <w:sz w:val="22"/>
                <w:szCs w:val="22"/>
                <w:lang w:val="fr-FR"/>
              </w:rPr>
              <w:t>.</w:t>
            </w:r>
          </w:p>
          <w:p w:rsidR="00C10E77" w:rsidRPr="000A4F72" w:rsidRDefault="00C10E77" w:rsidP="00821D6B">
            <w:pPr>
              <w:rPr>
                <w:rFonts w:ascii="Times New Roman" w:hAnsi="Times New Roman" w:cs="Times New Roman"/>
                <w:b/>
                <w:sz w:val="22"/>
                <w:szCs w:val="22"/>
                <w:lang w:val="fr-FR"/>
              </w:rPr>
            </w:pPr>
          </w:p>
        </w:tc>
      </w:tr>
      <w:tr w:rsidR="00C10E77" w:rsidRPr="000A4F72" w:rsidTr="00821D6B">
        <w:tc>
          <w:tcPr>
            <w:tcW w:w="9778" w:type="dxa"/>
            <w:gridSpan w:val="3"/>
          </w:tcPr>
          <w:p w:rsidR="00C10E77" w:rsidRPr="000A4F72" w:rsidRDefault="00C10E77" w:rsidP="00821D6B">
            <w:pPr>
              <w:rPr>
                <w:rFonts w:ascii="Times New Roman" w:hAnsi="Times New Roman" w:cs="Times New Roman"/>
                <w:b/>
                <w:sz w:val="22"/>
                <w:szCs w:val="22"/>
                <w:lang w:val="fr-FR"/>
              </w:rPr>
            </w:pPr>
            <w:r w:rsidRPr="000A4F72">
              <w:rPr>
                <w:rFonts w:ascii="Times New Roman" w:hAnsi="Times New Roman" w:cs="Times New Roman"/>
                <w:b/>
                <w:sz w:val="22"/>
                <w:szCs w:val="22"/>
                <w:lang w:val="fr-FR"/>
              </w:rPr>
              <w:t>Questions complémentaires (sur 10 points) :</w:t>
            </w:r>
          </w:p>
        </w:tc>
      </w:tr>
      <w:tr w:rsidR="00C10E77" w:rsidRPr="00063D38" w:rsidTr="00821D6B">
        <w:tc>
          <w:tcPr>
            <w:tcW w:w="9778" w:type="dxa"/>
            <w:gridSpan w:val="3"/>
          </w:tcPr>
          <w:p w:rsidR="00C10E77" w:rsidRPr="000A4F72" w:rsidRDefault="00C10E77" w:rsidP="00063D38">
            <w:pPr>
              <w:rPr>
                <w:rFonts w:ascii="Times New Roman" w:hAnsi="Times New Roman" w:cs="Times New Roman"/>
                <w:sz w:val="22"/>
                <w:szCs w:val="22"/>
                <w:lang w:val="fr-FR"/>
              </w:rPr>
            </w:pPr>
            <w:r w:rsidRPr="000A4F72">
              <w:rPr>
                <w:rFonts w:ascii="Times New Roman" w:hAnsi="Times New Roman" w:cs="Times New Roman"/>
                <w:sz w:val="22"/>
                <w:szCs w:val="22"/>
                <w:lang w:val="fr-FR"/>
              </w:rPr>
              <w:t xml:space="preserve">1) </w:t>
            </w:r>
            <w:r w:rsidR="00063D38">
              <w:rPr>
                <w:rFonts w:ascii="Times New Roman" w:hAnsi="Times New Roman" w:cs="Times New Roman"/>
                <w:sz w:val="22"/>
                <w:szCs w:val="22"/>
                <w:lang w:val="fr-FR"/>
              </w:rPr>
              <w:t>Donnez la signification des 2 valeurs soulignées. Document 1.</w:t>
            </w:r>
            <w:r w:rsidR="00821D6B">
              <w:rPr>
                <w:rFonts w:ascii="Times New Roman" w:hAnsi="Times New Roman" w:cs="Times New Roman"/>
                <w:sz w:val="22"/>
                <w:szCs w:val="22"/>
                <w:lang w:val="fr-FR"/>
              </w:rPr>
              <w:t xml:space="preserve"> (4 points)</w:t>
            </w:r>
          </w:p>
        </w:tc>
      </w:tr>
      <w:tr w:rsidR="00C10E77" w:rsidRPr="00063D38" w:rsidTr="00821D6B">
        <w:tc>
          <w:tcPr>
            <w:tcW w:w="9778" w:type="dxa"/>
            <w:gridSpan w:val="3"/>
          </w:tcPr>
          <w:p w:rsidR="00C10E77" w:rsidRPr="000A4F72" w:rsidRDefault="00C10E77" w:rsidP="00821D6B">
            <w:pPr>
              <w:rPr>
                <w:rFonts w:ascii="Times New Roman" w:hAnsi="Times New Roman" w:cs="Times New Roman"/>
                <w:sz w:val="22"/>
                <w:szCs w:val="22"/>
                <w:lang w:val="fr-FR"/>
              </w:rPr>
            </w:pPr>
            <w:r w:rsidRPr="000A4F72">
              <w:rPr>
                <w:rFonts w:ascii="Times New Roman" w:hAnsi="Times New Roman" w:cs="Times New Roman"/>
                <w:sz w:val="22"/>
                <w:szCs w:val="22"/>
                <w:lang w:val="fr-FR"/>
              </w:rPr>
              <w:t xml:space="preserve">2) </w:t>
            </w:r>
            <w:r w:rsidR="003F285F">
              <w:rPr>
                <w:rFonts w:ascii="Times New Roman" w:hAnsi="Times New Roman" w:cs="Times New Roman"/>
                <w:sz w:val="22"/>
                <w:szCs w:val="22"/>
                <w:lang w:val="fr-FR"/>
              </w:rPr>
              <w:t>Comment la politique de concurrence peut-elle s’exercer à l’égard des entreprises ? (3 points)</w:t>
            </w:r>
          </w:p>
        </w:tc>
      </w:tr>
      <w:tr w:rsidR="00C10E77" w:rsidRPr="000A4F72" w:rsidTr="00821D6B">
        <w:tc>
          <w:tcPr>
            <w:tcW w:w="9778" w:type="dxa"/>
            <w:gridSpan w:val="3"/>
          </w:tcPr>
          <w:p w:rsidR="00C10E77" w:rsidRPr="000A4F72" w:rsidRDefault="00C10E77" w:rsidP="003F285F">
            <w:pPr>
              <w:rPr>
                <w:rFonts w:ascii="Times New Roman" w:hAnsi="Times New Roman" w:cs="Times New Roman"/>
                <w:sz w:val="22"/>
                <w:szCs w:val="22"/>
                <w:lang w:val="fr-FR"/>
              </w:rPr>
            </w:pPr>
            <w:r w:rsidRPr="000A4F72">
              <w:rPr>
                <w:rFonts w:ascii="Times New Roman" w:hAnsi="Times New Roman" w:cs="Times New Roman"/>
                <w:sz w:val="22"/>
                <w:szCs w:val="22"/>
                <w:lang w:val="fr-FR"/>
              </w:rPr>
              <w:t>3)</w:t>
            </w:r>
            <w:r w:rsidR="003F285F">
              <w:rPr>
                <w:rFonts w:ascii="Times New Roman" w:hAnsi="Times New Roman" w:cs="Times New Roman"/>
                <w:sz w:val="22"/>
                <w:szCs w:val="22"/>
                <w:lang w:val="fr-FR"/>
              </w:rPr>
              <w:t xml:space="preserve"> Quelles sont les caractéristiques des grandes évolutions démographiques séculaires ? (3 points)</w:t>
            </w:r>
          </w:p>
        </w:tc>
      </w:tr>
    </w:tbl>
    <w:p w:rsidR="00C10E77" w:rsidRPr="000A4F72" w:rsidRDefault="00C10E77" w:rsidP="00C10E77">
      <w:pPr>
        <w:rPr>
          <w:rFonts w:ascii="Times New Roman" w:hAnsi="Times New Roman" w:cs="Times New Roman"/>
          <w:sz w:val="22"/>
          <w:szCs w:val="22"/>
          <w:lang w:val="fr-FR"/>
        </w:rPr>
      </w:pPr>
    </w:p>
    <w:p w:rsidR="00C10E77" w:rsidRPr="00821D6B" w:rsidRDefault="00C10E77" w:rsidP="00C10E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0A4F72">
        <w:rPr>
          <w:rFonts w:ascii="Times New Roman" w:hAnsi="Times New Roman" w:cs="Times New Roman"/>
          <w:color w:val="000000"/>
          <w:sz w:val="22"/>
          <w:szCs w:val="22"/>
          <w:lang w:val="fr-FR"/>
        </w:rPr>
        <w:t>DOCUMENT 1</w:t>
      </w:r>
      <w:r w:rsidR="00821D6B">
        <w:rPr>
          <w:rFonts w:ascii="Times New Roman" w:hAnsi="Times New Roman" w:cs="Times New Roman"/>
          <w:color w:val="000000"/>
          <w:sz w:val="22"/>
          <w:szCs w:val="22"/>
          <w:lang w:val="fr-FR"/>
        </w:rPr>
        <w:t xml:space="preserve"> : </w:t>
      </w:r>
      <w:r w:rsidR="00821D6B" w:rsidRPr="00821D6B">
        <w:rPr>
          <w:rFonts w:ascii="Times New Roman" w:hAnsi="Times New Roman" w:cs="Times New Roman"/>
          <w:color w:val="000000"/>
          <w:sz w:val="22"/>
          <w:szCs w:val="22"/>
          <w:lang w:val="fr-FR"/>
        </w:rPr>
        <w:t>Situation professionnelle en 2005 des jeunes sortis de formations initiale depuis 5 ans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5"/>
        <w:gridCol w:w="1196"/>
        <w:gridCol w:w="1183"/>
        <w:gridCol w:w="1361"/>
        <w:gridCol w:w="1052"/>
        <w:gridCol w:w="1071"/>
        <w:gridCol w:w="938"/>
        <w:gridCol w:w="1438"/>
      </w:tblGrid>
      <w:tr w:rsidR="00B1458E" w:rsidRPr="00821D6B" w:rsidTr="00821D6B">
        <w:tc>
          <w:tcPr>
            <w:tcW w:w="2004" w:type="dxa"/>
            <w:tcBorders>
              <w:tl2br w:val="single" w:sz="4" w:space="0" w:color="auto"/>
            </w:tcBorders>
          </w:tcPr>
          <w:p w:rsidR="00B1458E" w:rsidRPr="00821D6B" w:rsidRDefault="00821D6B"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both"/>
              <w:rPr>
                <w:rFonts w:ascii="Times New Roman" w:hAnsi="Times New Roman" w:cs="Times New Roman"/>
                <w:color w:val="000000"/>
                <w:sz w:val="20"/>
                <w:lang w:val="fr-FR"/>
              </w:rPr>
            </w:pPr>
            <w:r w:rsidRPr="00821D6B">
              <w:rPr>
                <w:rFonts w:ascii="Times New Roman" w:hAnsi="Times New Roman" w:cs="Times New Roman"/>
                <w:color w:val="000000"/>
                <w:sz w:val="20"/>
                <w:lang w:val="fr-FR"/>
              </w:rPr>
              <w:t xml:space="preserve">    Situation prof.</w:t>
            </w:r>
          </w:p>
          <w:p w:rsidR="00821D6B" w:rsidRPr="00821D6B" w:rsidRDefault="00821D6B"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both"/>
              <w:rPr>
                <w:rFonts w:ascii="Times New Roman" w:hAnsi="Times New Roman" w:cs="Times New Roman"/>
                <w:color w:val="000000"/>
                <w:sz w:val="20"/>
                <w:lang w:val="fr-FR"/>
              </w:rPr>
            </w:pPr>
          </w:p>
          <w:p w:rsidR="00821D6B" w:rsidRPr="00821D6B" w:rsidRDefault="00821D6B"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both"/>
              <w:rPr>
                <w:rFonts w:ascii="Times New Roman" w:hAnsi="Times New Roman" w:cs="Times New Roman"/>
                <w:color w:val="000000"/>
                <w:sz w:val="20"/>
                <w:lang w:val="fr-FR"/>
              </w:rPr>
            </w:pPr>
          </w:p>
          <w:p w:rsidR="00821D6B" w:rsidRPr="00821D6B" w:rsidRDefault="00821D6B"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both"/>
              <w:rPr>
                <w:rFonts w:ascii="Times New Roman" w:hAnsi="Times New Roman" w:cs="Times New Roman"/>
                <w:color w:val="000000"/>
                <w:sz w:val="20"/>
                <w:lang w:val="fr-FR"/>
              </w:rPr>
            </w:pPr>
          </w:p>
          <w:p w:rsidR="00821D6B" w:rsidRPr="00821D6B" w:rsidRDefault="00821D6B"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both"/>
              <w:rPr>
                <w:rFonts w:ascii="Times New Roman" w:hAnsi="Times New Roman" w:cs="Times New Roman"/>
                <w:color w:val="000000"/>
                <w:sz w:val="20"/>
                <w:lang w:val="fr-FR"/>
              </w:rPr>
            </w:pPr>
            <w:r w:rsidRPr="00821D6B">
              <w:rPr>
                <w:rFonts w:ascii="Times New Roman" w:hAnsi="Times New Roman" w:cs="Times New Roman"/>
                <w:color w:val="000000"/>
                <w:sz w:val="20"/>
                <w:lang w:val="fr-FR"/>
              </w:rPr>
              <w:t>Formation</w:t>
            </w:r>
          </w:p>
        </w:tc>
        <w:tc>
          <w:tcPr>
            <w:tcW w:w="1268" w:type="dxa"/>
          </w:tcPr>
          <w:p w:rsidR="00B1458E" w:rsidRPr="00821D6B" w:rsidRDefault="00B1458E"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0"/>
                <w:lang w:val="fr-FR"/>
              </w:rPr>
            </w:pPr>
            <w:r w:rsidRPr="00821D6B">
              <w:rPr>
                <w:rFonts w:ascii="Times New Roman" w:hAnsi="Times New Roman" w:cs="Times New Roman"/>
                <w:color w:val="000000"/>
                <w:sz w:val="20"/>
                <w:lang w:val="fr-FR"/>
              </w:rPr>
              <w:t>Chefs d’entreprise</w:t>
            </w:r>
          </w:p>
          <w:p w:rsidR="00B1458E" w:rsidRPr="00821D6B" w:rsidRDefault="00B1458E"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0"/>
                <w:lang w:val="fr-FR"/>
              </w:rPr>
            </w:pPr>
            <w:r w:rsidRPr="00821D6B">
              <w:rPr>
                <w:rFonts w:ascii="Times New Roman" w:hAnsi="Times New Roman" w:cs="Times New Roman"/>
                <w:color w:val="000000"/>
                <w:sz w:val="20"/>
                <w:lang w:val="fr-FR"/>
              </w:rPr>
              <w:t>et positions supérieures</w:t>
            </w:r>
          </w:p>
        </w:tc>
        <w:tc>
          <w:tcPr>
            <w:tcW w:w="1183" w:type="dxa"/>
          </w:tcPr>
          <w:p w:rsidR="00B1458E" w:rsidRPr="00821D6B" w:rsidRDefault="00B1458E"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both"/>
              <w:rPr>
                <w:rFonts w:ascii="Times New Roman" w:hAnsi="Times New Roman" w:cs="Times New Roman"/>
                <w:color w:val="000000"/>
                <w:sz w:val="20"/>
                <w:lang w:val="fr-FR"/>
              </w:rPr>
            </w:pPr>
            <w:r w:rsidRPr="00821D6B">
              <w:rPr>
                <w:rFonts w:ascii="Times New Roman" w:hAnsi="Times New Roman" w:cs="Times New Roman"/>
                <w:color w:val="000000"/>
                <w:sz w:val="20"/>
                <w:lang w:val="fr-FR"/>
              </w:rPr>
              <w:t>Enseignants</w:t>
            </w:r>
          </w:p>
        </w:tc>
        <w:tc>
          <w:tcPr>
            <w:tcW w:w="1364" w:type="dxa"/>
          </w:tcPr>
          <w:p w:rsidR="00B1458E" w:rsidRPr="00821D6B" w:rsidRDefault="00B1458E"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both"/>
              <w:rPr>
                <w:rFonts w:ascii="Times New Roman" w:hAnsi="Times New Roman" w:cs="Times New Roman"/>
                <w:color w:val="000000"/>
                <w:sz w:val="20"/>
                <w:lang w:val="fr-FR"/>
              </w:rPr>
            </w:pPr>
            <w:r w:rsidRPr="00821D6B">
              <w:rPr>
                <w:rFonts w:ascii="Times New Roman" w:hAnsi="Times New Roman" w:cs="Times New Roman"/>
                <w:color w:val="000000"/>
                <w:sz w:val="20"/>
                <w:lang w:val="fr-FR"/>
              </w:rPr>
              <w:t>Agriculteurs, artisans, commerçants, professions intermédiaires</w:t>
            </w:r>
          </w:p>
        </w:tc>
        <w:tc>
          <w:tcPr>
            <w:tcW w:w="1157" w:type="dxa"/>
          </w:tcPr>
          <w:p w:rsidR="00B1458E" w:rsidRPr="00821D6B" w:rsidRDefault="00B1458E"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both"/>
              <w:rPr>
                <w:rFonts w:ascii="Times New Roman" w:hAnsi="Times New Roman" w:cs="Times New Roman"/>
                <w:color w:val="000000"/>
                <w:sz w:val="20"/>
                <w:lang w:val="fr-FR"/>
              </w:rPr>
            </w:pPr>
            <w:r w:rsidRPr="00821D6B">
              <w:rPr>
                <w:rFonts w:ascii="Times New Roman" w:hAnsi="Times New Roman" w:cs="Times New Roman"/>
                <w:color w:val="000000"/>
                <w:sz w:val="20"/>
                <w:lang w:val="fr-FR"/>
              </w:rPr>
              <w:t>Employés</w:t>
            </w:r>
          </w:p>
          <w:p w:rsidR="00B1458E" w:rsidRPr="00821D6B" w:rsidRDefault="00B1458E"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both"/>
              <w:rPr>
                <w:rFonts w:ascii="Times New Roman" w:hAnsi="Times New Roman" w:cs="Times New Roman"/>
                <w:color w:val="000000"/>
                <w:sz w:val="20"/>
                <w:lang w:val="fr-FR"/>
              </w:rPr>
            </w:pPr>
            <w:r w:rsidRPr="00821D6B">
              <w:rPr>
                <w:rFonts w:ascii="Times New Roman" w:hAnsi="Times New Roman" w:cs="Times New Roman"/>
                <w:color w:val="000000"/>
                <w:sz w:val="20"/>
                <w:lang w:val="fr-FR"/>
              </w:rPr>
              <w:t>et</w:t>
            </w:r>
          </w:p>
          <w:p w:rsidR="00B1458E" w:rsidRPr="00821D6B" w:rsidRDefault="00B1458E"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both"/>
              <w:rPr>
                <w:rFonts w:ascii="Times New Roman" w:hAnsi="Times New Roman" w:cs="Times New Roman"/>
                <w:color w:val="000000"/>
                <w:sz w:val="20"/>
                <w:lang w:val="fr-FR"/>
              </w:rPr>
            </w:pPr>
            <w:r w:rsidRPr="00821D6B">
              <w:rPr>
                <w:rFonts w:ascii="Times New Roman" w:hAnsi="Times New Roman" w:cs="Times New Roman"/>
                <w:color w:val="000000"/>
                <w:sz w:val="20"/>
                <w:lang w:val="fr-FR"/>
              </w:rPr>
              <w:t>ouvriers qualifiés</w:t>
            </w:r>
          </w:p>
        </w:tc>
        <w:tc>
          <w:tcPr>
            <w:tcW w:w="1233" w:type="dxa"/>
          </w:tcPr>
          <w:p w:rsidR="00B1458E" w:rsidRPr="00821D6B" w:rsidRDefault="00B1458E"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both"/>
              <w:rPr>
                <w:rFonts w:ascii="Times New Roman" w:hAnsi="Times New Roman" w:cs="Times New Roman"/>
                <w:color w:val="000000"/>
                <w:sz w:val="20"/>
                <w:lang w:val="fr-FR"/>
              </w:rPr>
            </w:pPr>
            <w:r w:rsidRPr="00821D6B">
              <w:rPr>
                <w:rFonts w:ascii="Times New Roman" w:hAnsi="Times New Roman" w:cs="Times New Roman"/>
                <w:color w:val="000000"/>
                <w:sz w:val="20"/>
                <w:lang w:val="fr-FR"/>
              </w:rPr>
              <w:t>Employés</w:t>
            </w:r>
          </w:p>
          <w:p w:rsidR="00B1458E" w:rsidRPr="00821D6B" w:rsidRDefault="00B1458E"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both"/>
              <w:rPr>
                <w:rFonts w:ascii="Times New Roman" w:hAnsi="Times New Roman" w:cs="Times New Roman"/>
                <w:color w:val="000000"/>
                <w:sz w:val="20"/>
                <w:lang w:val="fr-FR"/>
              </w:rPr>
            </w:pPr>
            <w:r w:rsidRPr="00821D6B">
              <w:rPr>
                <w:rFonts w:ascii="Times New Roman" w:hAnsi="Times New Roman" w:cs="Times New Roman"/>
                <w:color w:val="000000"/>
                <w:sz w:val="20"/>
                <w:lang w:val="fr-FR"/>
              </w:rPr>
              <w:t>et ouvriers</w:t>
            </w:r>
          </w:p>
          <w:p w:rsidR="00B1458E" w:rsidRPr="00821D6B" w:rsidRDefault="00B1458E"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both"/>
              <w:rPr>
                <w:rFonts w:ascii="Times New Roman" w:hAnsi="Times New Roman" w:cs="Times New Roman"/>
                <w:color w:val="000000"/>
                <w:sz w:val="20"/>
                <w:lang w:val="fr-FR"/>
              </w:rPr>
            </w:pPr>
            <w:r w:rsidRPr="00821D6B">
              <w:rPr>
                <w:rFonts w:ascii="Times New Roman" w:hAnsi="Times New Roman" w:cs="Times New Roman"/>
                <w:color w:val="000000"/>
                <w:sz w:val="20"/>
                <w:lang w:val="fr-FR"/>
              </w:rPr>
              <w:t>non qualifiés</w:t>
            </w:r>
          </w:p>
        </w:tc>
        <w:tc>
          <w:tcPr>
            <w:tcW w:w="938" w:type="dxa"/>
          </w:tcPr>
          <w:p w:rsidR="00B1458E" w:rsidRPr="00821D6B" w:rsidRDefault="00B1458E"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both"/>
              <w:rPr>
                <w:rFonts w:ascii="Times New Roman" w:hAnsi="Times New Roman" w:cs="Times New Roman"/>
                <w:color w:val="000000"/>
                <w:sz w:val="20"/>
                <w:lang w:val="fr-FR"/>
              </w:rPr>
            </w:pPr>
            <w:r w:rsidRPr="00821D6B">
              <w:rPr>
                <w:rFonts w:ascii="Times New Roman" w:hAnsi="Times New Roman" w:cs="Times New Roman"/>
                <w:color w:val="000000"/>
                <w:sz w:val="20"/>
                <w:lang w:val="fr-FR"/>
              </w:rPr>
              <w:t>Au chômage</w:t>
            </w:r>
          </w:p>
        </w:tc>
        <w:tc>
          <w:tcPr>
            <w:tcW w:w="707" w:type="dxa"/>
          </w:tcPr>
          <w:p w:rsidR="00B1458E" w:rsidRPr="00821D6B" w:rsidRDefault="00B1458E"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both"/>
              <w:rPr>
                <w:rFonts w:ascii="Times New Roman" w:hAnsi="Times New Roman" w:cs="Times New Roman"/>
                <w:color w:val="000000"/>
                <w:sz w:val="20"/>
                <w:lang w:val="fr-FR"/>
              </w:rPr>
            </w:pPr>
            <w:r w:rsidRPr="00821D6B">
              <w:rPr>
                <w:rFonts w:ascii="Times New Roman" w:hAnsi="Times New Roman" w:cs="Times New Roman"/>
                <w:color w:val="000000"/>
                <w:sz w:val="20"/>
                <w:lang w:val="fr-FR"/>
              </w:rPr>
              <w:t>Sans</w:t>
            </w:r>
          </w:p>
          <w:p w:rsidR="00B1458E" w:rsidRPr="00821D6B" w:rsidRDefault="00B1458E"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both"/>
              <w:rPr>
                <w:rFonts w:ascii="Times New Roman" w:hAnsi="Times New Roman" w:cs="Times New Roman"/>
                <w:color w:val="000000"/>
                <w:sz w:val="20"/>
                <w:lang w:val="fr-FR"/>
              </w:rPr>
            </w:pPr>
            <w:r w:rsidRPr="00821D6B">
              <w:rPr>
                <w:rFonts w:ascii="Times New Roman" w:hAnsi="Times New Roman" w:cs="Times New Roman"/>
                <w:color w:val="000000"/>
                <w:sz w:val="20"/>
                <w:lang w:val="fr-FR"/>
              </w:rPr>
              <w:t>activité professionnelle</w:t>
            </w:r>
          </w:p>
        </w:tc>
      </w:tr>
      <w:tr w:rsidR="00B1458E" w:rsidRPr="00821D6B" w:rsidTr="00821D6B">
        <w:tc>
          <w:tcPr>
            <w:tcW w:w="2004" w:type="dxa"/>
          </w:tcPr>
          <w:p w:rsidR="00B1458E" w:rsidRPr="00821D6B" w:rsidRDefault="00B1458E"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both"/>
              <w:rPr>
                <w:rFonts w:ascii="Times New Roman" w:hAnsi="Times New Roman" w:cs="Times New Roman"/>
                <w:color w:val="000000"/>
                <w:sz w:val="20"/>
                <w:lang w:val="fr-FR"/>
              </w:rPr>
            </w:pPr>
            <w:r w:rsidRPr="00821D6B">
              <w:rPr>
                <w:rFonts w:ascii="Times New Roman" w:hAnsi="Times New Roman" w:cs="Times New Roman"/>
                <w:color w:val="000000"/>
                <w:sz w:val="20"/>
                <w:lang w:val="fr-FR"/>
              </w:rPr>
              <w:t>Diplôme d’enseignement supérieur</w:t>
            </w:r>
          </w:p>
        </w:tc>
        <w:tc>
          <w:tcPr>
            <w:tcW w:w="1268" w:type="dxa"/>
          </w:tcPr>
          <w:p w:rsidR="00B1458E" w:rsidRPr="00063D38" w:rsidRDefault="00821D6B"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b/>
                <w:color w:val="000000"/>
                <w:sz w:val="20"/>
                <w:u w:val="single"/>
                <w:lang w:val="fr-FR"/>
              </w:rPr>
            </w:pPr>
            <w:r w:rsidRPr="00063D38">
              <w:rPr>
                <w:rFonts w:ascii="Times New Roman" w:hAnsi="Times New Roman" w:cs="Times New Roman"/>
                <w:b/>
                <w:color w:val="000000"/>
                <w:sz w:val="20"/>
                <w:u w:val="single"/>
                <w:lang w:val="fr-FR"/>
              </w:rPr>
              <w:t>23</w:t>
            </w:r>
          </w:p>
        </w:tc>
        <w:tc>
          <w:tcPr>
            <w:tcW w:w="1183" w:type="dxa"/>
          </w:tcPr>
          <w:p w:rsidR="00B1458E" w:rsidRPr="00821D6B" w:rsidRDefault="00821D6B"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0"/>
                <w:lang w:val="fr-FR"/>
              </w:rPr>
            </w:pPr>
            <w:r w:rsidRPr="00821D6B">
              <w:rPr>
                <w:rFonts w:ascii="Times New Roman" w:hAnsi="Times New Roman" w:cs="Times New Roman"/>
                <w:color w:val="000000"/>
                <w:sz w:val="20"/>
                <w:lang w:val="fr-FR"/>
              </w:rPr>
              <w:t>10</w:t>
            </w:r>
          </w:p>
        </w:tc>
        <w:tc>
          <w:tcPr>
            <w:tcW w:w="1364" w:type="dxa"/>
          </w:tcPr>
          <w:p w:rsidR="00B1458E" w:rsidRPr="00821D6B" w:rsidRDefault="00821D6B"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0"/>
                <w:lang w:val="fr-FR"/>
              </w:rPr>
            </w:pPr>
            <w:r w:rsidRPr="00821D6B">
              <w:rPr>
                <w:rFonts w:ascii="Times New Roman" w:hAnsi="Times New Roman" w:cs="Times New Roman"/>
                <w:color w:val="000000"/>
                <w:sz w:val="20"/>
                <w:lang w:val="fr-FR"/>
              </w:rPr>
              <w:t>32</w:t>
            </w:r>
          </w:p>
        </w:tc>
        <w:tc>
          <w:tcPr>
            <w:tcW w:w="1157" w:type="dxa"/>
          </w:tcPr>
          <w:p w:rsidR="00B1458E" w:rsidRPr="00821D6B" w:rsidRDefault="00821D6B"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0"/>
                <w:lang w:val="fr-FR"/>
              </w:rPr>
            </w:pPr>
            <w:r w:rsidRPr="00821D6B">
              <w:rPr>
                <w:rFonts w:ascii="Times New Roman" w:hAnsi="Times New Roman" w:cs="Times New Roman"/>
                <w:color w:val="000000"/>
                <w:sz w:val="20"/>
                <w:lang w:val="fr-FR"/>
              </w:rPr>
              <w:t>15</w:t>
            </w:r>
          </w:p>
        </w:tc>
        <w:tc>
          <w:tcPr>
            <w:tcW w:w="1233" w:type="dxa"/>
          </w:tcPr>
          <w:p w:rsidR="00B1458E" w:rsidRPr="00821D6B" w:rsidRDefault="00821D6B"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0"/>
                <w:lang w:val="fr-FR"/>
              </w:rPr>
            </w:pPr>
            <w:r w:rsidRPr="00821D6B">
              <w:rPr>
                <w:rFonts w:ascii="Times New Roman" w:hAnsi="Times New Roman" w:cs="Times New Roman"/>
                <w:color w:val="000000"/>
                <w:sz w:val="20"/>
                <w:lang w:val="fr-FR"/>
              </w:rPr>
              <w:t>7</w:t>
            </w:r>
          </w:p>
        </w:tc>
        <w:tc>
          <w:tcPr>
            <w:tcW w:w="938" w:type="dxa"/>
          </w:tcPr>
          <w:p w:rsidR="00B1458E" w:rsidRPr="00821D6B" w:rsidRDefault="00821D6B"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0"/>
                <w:lang w:val="fr-FR"/>
              </w:rPr>
            </w:pPr>
            <w:r w:rsidRPr="00821D6B">
              <w:rPr>
                <w:rFonts w:ascii="Times New Roman" w:hAnsi="Times New Roman" w:cs="Times New Roman"/>
                <w:color w:val="000000"/>
                <w:sz w:val="20"/>
                <w:lang w:val="fr-FR"/>
              </w:rPr>
              <w:t>6</w:t>
            </w:r>
          </w:p>
        </w:tc>
        <w:tc>
          <w:tcPr>
            <w:tcW w:w="707" w:type="dxa"/>
          </w:tcPr>
          <w:p w:rsidR="00B1458E" w:rsidRPr="00821D6B" w:rsidRDefault="00821D6B"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0"/>
                <w:lang w:val="fr-FR"/>
              </w:rPr>
            </w:pPr>
            <w:r w:rsidRPr="00821D6B">
              <w:rPr>
                <w:rFonts w:ascii="Times New Roman" w:hAnsi="Times New Roman" w:cs="Times New Roman"/>
                <w:color w:val="000000"/>
                <w:sz w:val="20"/>
                <w:lang w:val="fr-FR"/>
              </w:rPr>
              <w:t>7</w:t>
            </w:r>
          </w:p>
        </w:tc>
      </w:tr>
      <w:tr w:rsidR="00B1458E" w:rsidRPr="00821D6B" w:rsidTr="00821D6B">
        <w:tc>
          <w:tcPr>
            <w:tcW w:w="2004" w:type="dxa"/>
          </w:tcPr>
          <w:p w:rsidR="00B1458E" w:rsidRPr="00821D6B" w:rsidRDefault="00B1458E"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both"/>
              <w:rPr>
                <w:rFonts w:ascii="Times New Roman" w:hAnsi="Times New Roman" w:cs="Times New Roman"/>
                <w:color w:val="000000"/>
                <w:sz w:val="20"/>
                <w:lang w:val="fr-FR"/>
              </w:rPr>
            </w:pPr>
            <w:r w:rsidRPr="00821D6B">
              <w:rPr>
                <w:rFonts w:ascii="Times New Roman" w:hAnsi="Times New Roman" w:cs="Times New Roman"/>
                <w:color w:val="000000"/>
                <w:sz w:val="20"/>
                <w:lang w:val="fr-FR"/>
              </w:rPr>
              <w:t>CAP, BEP, baccalauréat ou équivalent</w:t>
            </w:r>
          </w:p>
        </w:tc>
        <w:tc>
          <w:tcPr>
            <w:tcW w:w="1268" w:type="dxa"/>
          </w:tcPr>
          <w:p w:rsidR="00B1458E" w:rsidRPr="00821D6B" w:rsidRDefault="00821D6B"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0"/>
                <w:lang w:val="fr-FR"/>
              </w:rPr>
            </w:pPr>
            <w:r w:rsidRPr="00821D6B">
              <w:rPr>
                <w:rFonts w:ascii="Times New Roman" w:hAnsi="Times New Roman" w:cs="Times New Roman"/>
                <w:color w:val="000000"/>
                <w:sz w:val="20"/>
                <w:lang w:val="fr-FR"/>
              </w:rPr>
              <w:t>2</w:t>
            </w:r>
          </w:p>
        </w:tc>
        <w:tc>
          <w:tcPr>
            <w:tcW w:w="1183" w:type="dxa"/>
          </w:tcPr>
          <w:p w:rsidR="00B1458E" w:rsidRPr="00821D6B" w:rsidRDefault="00821D6B"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0"/>
                <w:lang w:val="fr-FR"/>
              </w:rPr>
            </w:pPr>
            <w:r w:rsidRPr="00821D6B">
              <w:rPr>
                <w:rFonts w:ascii="Times New Roman" w:hAnsi="Times New Roman" w:cs="Times New Roman"/>
                <w:color w:val="000000"/>
                <w:sz w:val="20"/>
                <w:lang w:val="fr-FR"/>
              </w:rPr>
              <w:t>0</w:t>
            </w:r>
          </w:p>
        </w:tc>
        <w:tc>
          <w:tcPr>
            <w:tcW w:w="1364" w:type="dxa"/>
          </w:tcPr>
          <w:p w:rsidR="00B1458E" w:rsidRPr="00821D6B" w:rsidRDefault="00821D6B"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0"/>
                <w:lang w:val="fr-FR"/>
              </w:rPr>
            </w:pPr>
            <w:r w:rsidRPr="00821D6B">
              <w:rPr>
                <w:rFonts w:ascii="Times New Roman" w:hAnsi="Times New Roman" w:cs="Times New Roman"/>
                <w:color w:val="000000"/>
                <w:sz w:val="20"/>
                <w:lang w:val="fr-FR"/>
              </w:rPr>
              <w:t>16</w:t>
            </w:r>
          </w:p>
        </w:tc>
        <w:tc>
          <w:tcPr>
            <w:tcW w:w="1157" w:type="dxa"/>
          </w:tcPr>
          <w:p w:rsidR="00B1458E" w:rsidRPr="00821D6B" w:rsidRDefault="00821D6B"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0"/>
                <w:lang w:val="fr-FR"/>
              </w:rPr>
            </w:pPr>
            <w:r w:rsidRPr="00821D6B">
              <w:rPr>
                <w:rFonts w:ascii="Times New Roman" w:hAnsi="Times New Roman" w:cs="Times New Roman"/>
                <w:color w:val="000000"/>
                <w:sz w:val="20"/>
                <w:lang w:val="fr-FR"/>
              </w:rPr>
              <w:t>33</w:t>
            </w:r>
          </w:p>
        </w:tc>
        <w:tc>
          <w:tcPr>
            <w:tcW w:w="1233" w:type="dxa"/>
          </w:tcPr>
          <w:p w:rsidR="00B1458E" w:rsidRPr="00821D6B" w:rsidRDefault="00821D6B"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0"/>
                <w:lang w:val="fr-FR"/>
              </w:rPr>
            </w:pPr>
            <w:r w:rsidRPr="00821D6B">
              <w:rPr>
                <w:rFonts w:ascii="Times New Roman" w:hAnsi="Times New Roman" w:cs="Times New Roman"/>
                <w:color w:val="000000"/>
                <w:sz w:val="20"/>
                <w:lang w:val="fr-FR"/>
              </w:rPr>
              <w:t>26</w:t>
            </w:r>
          </w:p>
        </w:tc>
        <w:tc>
          <w:tcPr>
            <w:tcW w:w="938" w:type="dxa"/>
          </w:tcPr>
          <w:p w:rsidR="00B1458E" w:rsidRPr="00063D38" w:rsidRDefault="00821D6B"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b/>
                <w:color w:val="000000"/>
                <w:sz w:val="20"/>
                <w:u w:val="single"/>
                <w:lang w:val="fr-FR"/>
              </w:rPr>
            </w:pPr>
            <w:r w:rsidRPr="00063D38">
              <w:rPr>
                <w:rFonts w:ascii="Times New Roman" w:hAnsi="Times New Roman" w:cs="Times New Roman"/>
                <w:b/>
                <w:color w:val="000000"/>
                <w:sz w:val="20"/>
                <w:u w:val="single"/>
                <w:lang w:val="fr-FR"/>
              </w:rPr>
              <w:t>13</w:t>
            </w:r>
          </w:p>
        </w:tc>
        <w:tc>
          <w:tcPr>
            <w:tcW w:w="707" w:type="dxa"/>
          </w:tcPr>
          <w:p w:rsidR="00B1458E" w:rsidRPr="00821D6B" w:rsidRDefault="00821D6B"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0"/>
                <w:lang w:val="fr-FR"/>
              </w:rPr>
            </w:pPr>
            <w:r w:rsidRPr="00821D6B">
              <w:rPr>
                <w:rFonts w:ascii="Times New Roman" w:hAnsi="Times New Roman" w:cs="Times New Roman"/>
                <w:color w:val="000000"/>
                <w:sz w:val="20"/>
                <w:lang w:val="fr-FR"/>
              </w:rPr>
              <w:t>10</w:t>
            </w:r>
          </w:p>
        </w:tc>
      </w:tr>
      <w:tr w:rsidR="00B1458E" w:rsidRPr="00821D6B" w:rsidTr="00821D6B">
        <w:tc>
          <w:tcPr>
            <w:tcW w:w="2004" w:type="dxa"/>
          </w:tcPr>
          <w:p w:rsidR="00B1458E" w:rsidRPr="00821D6B" w:rsidRDefault="00B1458E"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both"/>
              <w:rPr>
                <w:rFonts w:ascii="Times New Roman" w:hAnsi="Times New Roman" w:cs="Times New Roman"/>
                <w:color w:val="000000"/>
                <w:sz w:val="20"/>
                <w:lang w:val="fr-FR"/>
              </w:rPr>
            </w:pPr>
            <w:r w:rsidRPr="00821D6B">
              <w:rPr>
                <w:rFonts w:ascii="Times New Roman" w:hAnsi="Times New Roman" w:cs="Times New Roman"/>
                <w:color w:val="000000"/>
                <w:sz w:val="20"/>
                <w:lang w:val="fr-FR"/>
              </w:rPr>
              <w:t>Brevet et moins</w:t>
            </w:r>
          </w:p>
        </w:tc>
        <w:tc>
          <w:tcPr>
            <w:tcW w:w="1268" w:type="dxa"/>
          </w:tcPr>
          <w:p w:rsidR="00B1458E" w:rsidRPr="00821D6B" w:rsidRDefault="00821D6B"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0"/>
                <w:lang w:val="fr-FR"/>
              </w:rPr>
            </w:pPr>
            <w:r w:rsidRPr="00821D6B">
              <w:rPr>
                <w:rFonts w:ascii="Times New Roman" w:hAnsi="Times New Roman" w:cs="Times New Roman"/>
                <w:color w:val="000000"/>
                <w:sz w:val="20"/>
                <w:lang w:val="fr-FR"/>
              </w:rPr>
              <w:t>1</w:t>
            </w:r>
          </w:p>
        </w:tc>
        <w:tc>
          <w:tcPr>
            <w:tcW w:w="1183" w:type="dxa"/>
          </w:tcPr>
          <w:p w:rsidR="00B1458E" w:rsidRPr="00821D6B" w:rsidRDefault="00821D6B"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0"/>
                <w:lang w:val="fr-FR"/>
              </w:rPr>
            </w:pPr>
            <w:r w:rsidRPr="00821D6B">
              <w:rPr>
                <w:rFonts w:ascii="Times New Roman" w:hAnsi="Times New Roman" w:cs="Times New Roman"/>
                <w:color w:val="000000"/>
                <w:sz w:val="20"/>
                <w:lang w:val="fr-FR"/>
              </w:rPr>
              <w:t>0</w:t>
            </w:r>
          </w:p>
        </w:tc>
        <w:tc>
          <w:tcPr>
            <w:tcW w:w="1364" w:type="dxa"/>
          </w:tcPr>
          <w:p w:rsidR="00B1458E" w:rsidRPr="00821D6B" w:rsidRDefault="00821D6B"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0"/>
                <w:lang w:val="fr-FR"/>
              </w:rPr>
            </w:pPr>
            <w:r w:rsidRPr="00821D6B">
              <w:rPr>
                <w:rFonts w:ascii="Times New Roman" w:hAnsi="Times New Roman" w:cs="Times New Roman"/>
                <w:color w:val="000000"/>
                <w:sz w:val="20"/>
                <w:lang w:val="fr-FR"/>
              </w:rPr>
              <w:t>6</w:t>
            </w:r>
          </w:p>
        </w:tc>
        <w:tc>
          <w:tcPr>
            <w:tcW w:w="1157" w:type="dxa"/>
          </w:tcPr>
          <w:p w:rsidR="00B1458E" w:rsidRPr="00821D6B" w:rsidRDefault="00821D6B"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0"/>
                <w:lang w:val="fr-FR"/>
              </w:rPr>
            </w:pPr>
            <w:r w:rsidRPr="00821D6B">
              <w:rPr>
                <w:rFonts w:ascii="Times New Roman" w:hAnsi="Times New Roman" w:cs="Times New Roman"/>
                <w:color w:val="000000"/>
                <w:sz w:val="20"/>
                <w:lang w:val="fr-FR"/>
              </w:rPr>
              <w:t>17</w:t>
            </w:r>
          </w:p>
        </w:tc>
        <w:tc>
          <w:tcPr>
            <w:tcW w:w="1233" w:type="dxa"/>
          </w:tcPr>
          <w:p w:rsidR="00B1458E" w:rsidRPr="00821D6B" w:rsidRDefault="00821D6B"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0"/>
                <w:lang w:val="fr-FR"/>
              </w:rPr>
            </w:pPr>
            <w:r w:rsidRPr="00821D6B">
              <w:rPr>
                <w:rFonts w:ascii="Times New Roman" w:hAnsi="Times New Roman" w:cs="Times New Roman"/>
                <w:color w:val="000000"/>
                <w:sz w:val="20"/>
                <w:lang w:val="fr-FR"/>
              </w:rPr>
              <w:t>28</w:t>
            </w:r>
          </w:p>
        </w:tc>
        <w:tc>
          <w:tcPr>
            <w:tcW w:w="938" w:type="dxa"/>
          </w:tcPr>
          <w:p w:rsidR="00B1458E" w:rsidRPr="00821D6B" w:rsidRDefault="00821D6B"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0"/>
                <w:lang w:val="fr-FR"/>
              </w:rPr>
            </w:pPr>
            <w:r w:rsidRPr="00821D6B">
              <w:rPr>
                <w:rFonts w:ascii="Times New Roman" w:hAnsi="Times New Roman" w:cs="Times New Roman"/>
                <w:color w:val="000000"/>
                <w:sz w:val="20"/>
                <w:lang w:val="fr-FR"/>
              </w:rPr>
              <w:t>27</w:t>
            </w:r>
          </w:p>
        </w:tc>
        <w:tc>
          <w:tcPr>
            <w:tcW w:w="707" w:type="dxa"/>
          </w:tcPr>
          <w:p w:rsidR="00B1458E" w:rsidRPr="00821D6B" w:rsidRDefault="00821D6B"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0"/>
                <w:lang w:val="fr-FR"/>
              </w:rPr>
            </w:pPr>
            <w:r w:rsidRPr="00821D6B">
              <w:rPr>
                <w:rFonts w:ascii="Times New Roman" w:hAnsi="Times New Roman" w:cs="Times New Roman"/>
                <w:color w:val="000000"/>
                <w:sz w:val="20"/>
                <w:lang w:val="fr-FR"/>
              </w:rPr>
              <w:t>21</w:t>
            </w:r>
          </w:p>
        </w:tc>
      </w:tr>
      <w:tr w:rsidR="00B1458E" w:rsidRPr="00821D6B" w:rsidTr="00821D6B">
        <w:tc>
          <w:tcPr>
            <w:tcW w:w="2004" w:type="dxa"/>
          </w:tcPr>
          <w:p w:rsidR="00B1458E" w:rsidRPr="00821D6B" w:rsidRDefault="00B1458E"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both"/>
              <w:rPr>
                <w:rFonts w:ascii="Times New Roman" w:hAnsi="Times New Roman" w:cs="Times New Roman"/>
                <w:b/>
                <w:color w:val="000000"/>
                <w:sz w:val="20"/>
                <w:lang w:val="fr-FR"/>
              </w:rPr>
            </w:pPr>
            <w:r w:rsidRPr="00821D6B">
              <w:rPr>
                <w:rFonts w:ascii="Times New Roman" w:hAnsi="Times New Roman" w:cs="Times New Roman"/>
                <w:b/>
                <w:color w:val="000000"/>
                <w:sz w:val="20"/>
                <w:lang w:val="fr-FR"/>
              </w:rPr>
              <w:t>Ensemble</w:t>
            </w:r>
          </w:p>
        </w:tc>
        <w:tc>
          <w:tcPr>
            <w:tcW w:w="1268" w:type="dxa"/>
          </w:tcPr>
          <w:p w:rsidR="00B1458E" w:rsidRPr="00821D6B" w:rsidRDefault="00821D6B"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b/>
                <w:color w:val="000000"/>
                <w:sz w:val="20"/>
                <w:lang w:val="fr-FR"/>
              </w:rPr>
            </w:pPr>
            <w:r w:rsidRPr="00821D6B">
              <w:rPr>
                <w:rFonts w:ascii="Times New Roman" w:hAnsi="Times New Roman" w:cs="Times New Roman"/>
                <w:b/>
                <w:color w:val="000000"/>
                <w:sz w:val="20"/>
                <w:lang w:val="fr-FR"/>
              </w:rPr>
              <w:t>11</w:t>
            </w:r>
          </w:p>
        </w:tc>
        <w:tc>
          <w:tcPr>
            <w:tcW w:w="1183" w:type="dxa"/>
          </w:tcPr>
          <w:p w:rsidR="00B1458E" w:rsidRPr="00821D6B" w:rsidRDefault="00821D6B"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b/>
                <w:color w:val="000000"/>
                <w:sz w:val="20"/>
                <w:lang w:val="fr-FR"/>
              </w:rPr>
            </w:pPr>
            <w:r w:rsidRPr="00821D6B">
              <w:rPr>
                <w:rFonts w:ascii="Times New Roman" w:hAnsi="Times New Roman" w:cs="Times New Roman"/>
                <w:b/>
                <w:color w:val="000000"/>
                <w:sz w:val="20"/>
                <w:lang w:val="fr-FR"/>
              </w:rPr>
              <w:t>4</w:t>
            </w:r>
          </w:p>
        </w:tc>
        <w:tc>
          <w:tcPr>
            <w:tcW w:w="1364" w:type="dxa"/>
          </w:tcPr>
          <w:p w:rsidR="00B1458E" w:rsidRPr="00821D6B" w:rsidRDefault="00821D6B"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b/>
                <w:color w:val="000000"/>
                <w:sz w:val="20"/>
                <w:lang w:val="fr-FR"/>
              </w:rPr>
            </w:pPr>
            <w:r w:rsidRPr="00821D6B">
              <w:rPr>
                <w:rFonts w:ascii="Times New Roman" w:hAnsi="Times New Roman" w:cs="Times New Roman"/>
                <w:b/>
                <w:color w:val="000000"/>
                <w:sz w:val="20"/>
                <w:lang w:val="fr-FR"/>
              </w:rPr>
              <w:t>21</w:t>
            </w:r>
          </w:p>
        </w:tc>
        <w:tc>
          <w:tcPr>
            <w:tcW w:w="1157" w:type="dxa"/>
          </w:tcPr>
          <w:p w:rsidR="00B1458E" w:rsidRPr="00821D6B" w:rsidRDefault="00821D6B"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b/>
                <w:color w:val="000000"/>
                <w:sz w:val="20"/>
                <w:lang w:val="fr-FR"/>
              </w:rPr>
            </w:pPr>
            <w:r w:rsidRPr="00821D6B">
              <w:rPr>
                <w:rFonts w:ascii="Times New Roman" w:hAnsi="Times New Roman" w:cs="Times New Roman"/>
                <w:b/>
                <w:color w:val="000000"/>
                <w:sz w:val="20"/>
                <w:lang w:val="fr-FR"/>
              </w:rPr>
              <w:t>23</w:t>
            </w:r>
          </w:p>
        </w:tc>
        <w:tc>
          <w:tcPr>
            <w:tcW w:w="1233" w:type="dxa"/>
          </w:tcPr>
          <w:p w:rsidR="00B1458E" w:rsidRPr="00821D6B" w:rsidRDefault="00821D6B"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b/>
                <w:color w:val="000000"/>
                <w:sz w:val="20"/>
                <w:lang w:val="fr-FR"/>
              </w:rPr>
            </w:pPr>
            <w:r w:rsidRPr="00821D6B">
              <w:rPr>
                <w:rFonts w:ascii="Times New Roman" w:hAnsi="Times New Roman" w:cs="Times New Roman"/>
                <w:b/>
                <w:color w:val="000000"/>
                <w:sz w:val="20"/>
                <w:lang w:val="fr-FR"/>
              </w:rPr>
              <w:t>18</w:t>
            </w:r>
          </w:p>
        </w:tc>
        <w:tc>
          <w:tcPr>
            <w:tcW w:w="938" w:type="dxa"/>
          </w:tcPr>
          <w:p w:rsidR="00B1458E" w:rsidRPr="00821D6B" w:rsidRDefault="00821D6B"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b/>
                <w:color w:val="000000"/>
                <w:sz w:val="20"/>
                <w:lang w:val="fr-FR"/>
              </w:rPr>
            </w:pPr>
            <w:r w:rsidRPr="00821D6B">
              <w:rPr>
                <w:rFonts w:ascii="Times New Roman" w:hAnsi="Times New Roman" w:cs="Times New Roman"/>
                <w:b/>
                <w:color w:val="000000"/>
                <w:sz w:val="20"/>
                <w:lang w:val="fr-FR"/>
              </w:rPr>
              <w:t>12</w:t>
            </w:r>
          </w:p>
        </w:tc>
        <w:tc>
          <w:tcPr>
            <w:tcW w:w="707" w:type="dxa"/>
          </w:tcPr>
          <w:p w:rsidR="00B1458E" w:rsidRPr="00821D6B" w:rsidRDefault="00821D6B" w:rsidP="00821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b/>
                <w:color w:val="000000"/>
                <w:sz w:val="20"/>
                <w:lang w:val="fr-FR"/>
              </w:rPr>
            </w:pPr>
            <w:r w:rsidRPr="00821D6B">
              <w:rPr>
                <w:rFonts w:ascii="Times New Roman" w:hAnsi="Times New Roman" w:cs="Times New Roman"/>
                <w:b/>
                <w:color w:val="000000"/>
                <w:sz w:val="20"/>
                <w:lang w:val="fr-FR"/>
              </w:rPr>
              <w:t>11</w:t>
            </w:r>
          </w:p>
        </w:tc>
      </w:tr>
    </w:tbl>
    <w:p w:rsidR="00C10E77" w:rsidRPr="00B1458E" w:rsidRDefault="00B1458E" w:rsidP="00C10E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0"/>
          <w:lang w:val="fr-FR"/>
        </w:rPr>
      </w:pPr>
      <w:r w:rsidRPr="00B1458E">
        <w:rPr>
          <w:rFonts w:ascii="Times New Roman" w:hAnsi="Times New Roman" w:cs="Times New Roman"/>
          <w:color w:val="000000"/>
          <w:sz w:val="20"/>
          <w:lang w:val="fr-FR"/>
        </w:rPr>
        <w:t>Source : d’après les calculs de la DEPP, à partir des enquêtes de l’INSEE, repères et références statistiques, ministères de l’Education nationale, 2007</w:t>
      </w:r>
    </w:p>
    <w:p w:rsidR="00B1458E" w:rsidRDefault="00B1458E" w:rsidP="00C10E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p>
    <w:p w:rsidR="00C10E77" w:rsidRDefault="00C10E77" w:rsidP="00C10E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0A4F72">
        <w:rPr>
          <w:rFonts w:ascii="Times New Roman" w:hAnsi="Times New Roman" w:cs="Times New Roman"/>
          <w:color w:val="000000"/>
          <w:sz w:val="22"/>
          <w:szCs w:val="22"/>
          <w:lang w:val="fr-FR"/>
        </w:rPr>
        <w:t>DOCUMENT 2</w:t>
      </w:r>
    </w:p>
    <w:p w:rsidR="001F6428" w:rsidRPr="00B1458E" w:rsidRDefault="003F285F" w:rsidP="003F285F">
      <w:pPr>
        <w:spacing w:after="120" w:line="276" w:lineRule="auto"/>
        <w:jc w:val="both"/>
        <w:rPr>
          <w:rFonts w:ascii="Times New Roman" w:hAnsi="Times New Roman" w:cs="Times New Roman"/>
          <w:color w:val="000000"/>
          <w:sz w:val="20"/>
          <w:lang w:val="fr-FR"/>
        </w:rPr>
      </w:pPr>
      <w:r w:rsidRPr="001F6428">
        <w:rPr>
          <w:rFonts w:ascii="Times New Roman" w:hAnsi="Times New Roman" w:cs="Times New Roman"/>
          <w:sz w:val="20"/>
          <w:lang w:val="fr-FR"/>
        </w:rPr>
        <w:t xml:space="preserve">La culture scolaire est une culture particulière, celle de la classe dominante, transformée en culture légitime, […] indiscutable. De fait, elle est arbitraire et de nature sociale, </w:t>
      </w:r>
      <w:r w:rsidR="00B1458E">
        <w:rPr>
          <w:rFonts w:ascii="Times New Roman" w:hAnsi="Times New Roman" w:cs="Times New Roman"/>
          <w:sz w:val="20"/>
          <w:lang w:val="fr-FR"/>
        </w:rPr>
        <w:t xml:space="preserve">[…] </w:t>
      </w:r>
      <w:r w:rsidRPr="001F6428">
        <w:rPr>
          <w:rFonts w:ascii="Times New Roman" w:hAnsi="Times New Roman" w:cs="Times New Roman"/>
          <w:color w:val="000000"/>
          <w:sz w:val="20"/>
          <w:lang w:val="fr-FR"/>
        </w:rPr>
        <w:t xml:space="preserve">En d’autres termes, et par exagération, il n’y a aucune justification rationnelle, selon Pierre Bourdieu, au fait d’étudier Maupassant plutôt que Tintin, </w:t>
      </w:r>
      <w:r w:rsidR="001F6428" w:rsidRPr="00B1458E">
        <w:rPr>
          <w:rFonts w:ascii="Times New Roman" w:hAnsi="Times New Roman" w:cs="Times New Roman"/>
          <w:color w:val="000000"/>
          <w:sz w:val="20"/>
          <w:lang w:val="fr-FR"/>
        </w:rPr>
        <w:t>[…]</w:t>
      </w:r>
    </w:p>
    <w:p w:rsidR="00B1458E" w:rsidRDefault="003F285F" w:rsidP="003F285F">
      <w:pPr>
        <w:spacing w:after="120" w:line="276" w:lineRule="auto"/>
        <w:jc w:val="both"/>
        <w:rPr>
          <w:rFonts w:ascii="Times New Roman" w:hAnsi="Times New Roman" w:cs="Times New Roman"/>
          <w:color w:val="000000"/>
          <w:sz w:val="20"/>
          <w:lang w:val="fr-FR"/>
        </w:rPr>
      </w:pPr>
      <w:r w:rsidRPr="001F6428">
        <w:rPr>
          <w:rFonts w:ascii="Times New Roman" w:hAnsi="Times New Roman" w:cs="Times New Roman"/>
          <w:color w:val="000000"/>
          <w:sz w:val="20"/>
          <w:lang w:val="fr-FR"/>
        </w:rPr>
        <w:t xml:space="preserve">[…] La culture scolaire n’est donc pas une culture neutre mais une culture de classe. </w:t>
      </w:r>
      <w:r w:rsidR="00B1458E">
        <w:rPr>
          <w:rFonts w:ascii="Times New Roman" w:hAnsi="Times New Roman" w:cs="Times New Roman"/>
          <w:color w:val="000000"/>
          <w:sz w:val="20"/>
          <w:lang w:val="fr-FR"/>
        </w:rPr>
        <w:t>[…]</w:t>
      </w:r>
      <w:r w:rsidRPr="001F6428">
        <w:rPr>
          <w:rFonts w:ascii="Times New Roman" w:hAnsi="Times New Roman" w:cs="Times New Roman"/>
          <w:color w:val="000000"/>
          <w:sz w:val="20"/>
          <w:lang w:val="fr-FR"/>
        </w:rPr>
        <w:t xml:space="preserve"> Les critères de jugement de l’excellence scolaire par le corps enseignant sont des critères sociaux. L’école se voit déléguer par le groupe dominant </w:t>
      </w:r>
      <w:r w:rsidR="001F6428" w:rsidRPr="001F6428">
        <w:rPr>
          <w:rFonts w:ascii="Times New Roman" w:hAnsi="Times New Roman" w:cs="Times New Roman"/>
          <w:color w:val="000000"/>
          <w:sz w:val="20"/>
          <w:lang w:val="fr-FR"/>
        </w:rPr>
        <w:t xml:space="preserve">[…] </w:t>
      </w:r>
      <w:r w:rsidRPr="001F6428">
        <w:rPr>
          <w:rFonts w:ascii="Times New Roman" w:hAnsi="Times New Roman" w:cs="Times New Roman"/>
          <w:color w:val="000000"/>
          <w:sz w:val="20"/>
          <w:lang w:val="fr-FR"/>
        </w:rPr>
        <w:t>le pouvoir d’imposer des contenus conformes aux seuls intérêts de ce groupe. Les épreuves orales peuv</w:t>
      </w:r>
      <w:r w:rsidR="001F6428" w:rsidRPr="001F6428">
        <w:rPr>
          <w:rFonts w:ascii="Times New Roman" w:hAnsi="Times New Roman" w:cs="Times New Roman"/>
          <w:color w:val="000000"/>
          <w:sz w:val="20"/>
          <w:lang w:val="fr-FR"/>
        </w:rPr>
        <w:t>ent être considérées comme des « </w:t>
      </w:r>
      <w:r w:rsidRPr="001F6428">
        <w:rPr>
          <w:rFonts w:ascii="Times New Roman" w:hAnsi="Times New Roman" w:cs="Times New Roman"/>
          <w:color w:val="000000"/>
          <w:sz w:val="20"/>
          <w:lang w:val="fr-FR"/>
        </w:rPr>
        <w:t>épreuves d</w:t>
      </w:r>
      <w:r w:rsidR="001F6428" w:rsidRPr="001F6428">
        <w:rPr>
          <w:rFonts w:ascii="Times New Roman" w:hAnsi="Times New Roman" w:cs="Times New Roman"/>
          <w:color w:val="000000"/>
          <w:sz w:val="20"/>
          <w:lang w:val="fr-FR"/>
        </w:rPr>
        <w:t>e manières »</w:t>
      </w:r>
      <w:r w:rsidRPr="001F6428">
        <w:rPr>
          <w:rFonts w:ascii="Times New Roman" w:hAnsi="Times New Roman" w:cs="Times New Roman"/>
          <w:color w:val="000000"/>
          <w:sz w:val="20"/>
          <w:lang w:val="fr-FR"/>
        </w:rPr>
        <w:t xml:space="preserve">, sanctionnant davantage la forme que le fond, sur la base de signes subtils de reconnaissance sociale qui transparaissent de la posture, de l’intonation, </w:t>
      </w:r>
      <w:r w:rsidR="001F6428" w:rsidRPr="001F6428">
        <w:rPr>
          <w:rFonts w:ascii="Times New Roman" w:hAnsi="Times New Roman" w:cs="Times New Roman"/>
          <w:color w:val="000000"/>
          <w:sz w:val="20"/>
          <w:lang w:val="fr-FR"/>
        </w:rPr>
        <w:t>[…]</w:t>
      </w:r>
    </w:p>
    <w:p w:rsidR="004B71C2" w:rsidRPr="001F6428" w:rsidRDefault="003F285F" w:rsidP="003F285F">
      <w:pPr>
        <w:spacing w:after="120" w:line="276" w:lineRule="auto"/>
        <w:jc w:val="both"/>
        <w:rPr>
          <w:rFonts w:ascii="Times New Roman" w:hAnsi="Times New Roman" w:cs="Times New Roman"/>
          <w:color w:val="000000"/>
          <w:sz w:val="20"/>
          <w:lang w:val="fr-FR"/>
        </w:rPr>
      </w:pPr>
      <w:r w:rsidRPr="001F6428">
        <w:rPr>
          <w:rFonts w:ascii="Times New Roman" w:hAnsi="Times New Roman" w:cs="Times New Roman"/>
          <w:color w:val="000000"/>
          <w:sz w:val="20"/>
          <w:lang w:val="fr-FR"/>
        </w:rPr>
        <w:t xml:space="preserve">Mais pour que l’école puisse assurer la reproduction sociale, </w:t>
      </w:r>
      <w:r w:rsidR="001F6428" w:rsidRPr="001F6428">
        <w:rPr>
          <w:rFonts w:ascii="Times New Roman" w:hAnsi="Times New Roman" w:cs="Times New Roman"/>
          <w:color w:val="000000"/>
          <w:sz w:val="20"/>
          <w:lang w:val="fr-FR"/>
        </w:rPr>
        <w:t>[…]</w:t>
      </w:r>
      <w:r w:rsidRPr="001F6428">
        <w:rPr>
          <w:rFonts w:ascii="Times New Roman" w:hAnsi="Times New Roman" w:cs="Times New Roman"/>
          <w:color w:val="000000"/>
          <w:sz w:val="20"/>
          <w:lang w:val="fr-FR"/>
        </w:rPr>
        <w:t xml:space="preserve"> elle doit se doter d’un système de représentation fondé sur la négation de cette fonction. Dans le système éd</w:t>
      </w:r>
      <w:r w:rsidR="001F6428" w:rsidRPr="001F6428">
        <w:rPr>
          <w:rFonts w:ascii="Times New Roman" w:hAnsi="Times New Roman" w:cs="Times New Roman"/>
          <w:color w:val="000000"/>
          <w:sz w:val="20"/>
          <w:lang w:val="fr-FR"/>
        </w:rPr>
        <w:t>ucatif, elle prend la forme de « l’idéologie du don »</w:t>
      </w:r>
      <w:r w:rsidRPr="001F6428">
        <w:rPr>
          <w:rFonts w:ascii="Times New Roman" w:hAnsi="Times New Roman" w:cs="Times New Roman"/>
          <w:color w:val="000000"/>
          <w:sz w:val="20"/>
          <w:lang w:val="fr-FR"/>
        </w:rPr>
        <w:t xml:space="preserve">. Cette idéologie, </w:t>
      </w:r>
      <w:r w:rsidR="00B1458E">
        <w:rPr>
          <w:rFonts w:ascii="Times New Roman" w:hAnsi="Times New Roman" w:cs="Times New Roman"/>
          <w:color w:val="000000"/>
          <w:sz w:val="20"/>
          <w:lang w:val="fr-FR"/>
        </w:rPr>
        <w:t>[…]</w:t>
      </w:r>
      <w:r w:rsidRPr="001F6428">
        <w:rPr>
          <w:rFonts w:ascii="Times New Roman" w:hAnsi="Times New Roman" w:cs="Times New Roman"/>
          <w:color w:val="000000"/>
          <w:sz w:val="20"/>
          <w:lang w:val="fr-FR"/>
        </w:rPr>
        <w:t xml:space="preserve">, postule que les inégalités de réussite à l’école reflètent des inégalités d’aptitude, considérées comme innées. Dès lors, elle s’accompagne de l’idéologie méritocratique qui affirme que tout individu peut accéder aux positions sociales les plus élevées si ses talents, son travail et ses goûts le lui permettent. [...] Dans les faits, les critères de la réussite sont des critères sociaux et non scolaires. La hiérarchie scolaire est en fait une hiérarchie sociale voilée par l’idéologie du don. </w:t>
      </w:r>
      <w:r w:rsidR="001F6428" w:rsidRPr="001F6428">
        <w:rPr>
          <w:rFonts w:ascii="Times New Roman" w:hAnsi="Times New Roman" w:cs="Times New Roman"/>
          <w:color w:val="000000"/>
          <w:sz w:val="20"/>
          <w:lang w:val="fr-FR"/>
        </w:rPr>
        <w:t>[…] L’école</w:t>
      </w:r>
      <w:r w:rsidRPr="001F6428">
        <w:rPr>
          <w:rFonts w:ascii="Times New Roman" w:hAnsi="Times New Roman" w:cs="Times New Roman"/>
          <w:color w:val="000000"/>
          <w:sz w:val="20"/>
          <w:lang w:val="fr-FR"/>
        </w:rPr>
        <w:t xml:space="preserve"> doit tout faire pour que son fonctionnement soit perçu comme légitime</w:t>
      </w:r>
      <w:r w:rsidR="001F6428" w:rsidRPr="001F6428">
        <w:rPr>
          <w:rFonts w:ascii="Times New Roman" w:hAnsi="Times New Roman" w:cs="Times New Roman"/>
          <w:color w:val="000000"/>
          <w:sz w:val="20"/>
          <w:lang w:val="fr-FR"/>
        </w:rPr>
        <w:t xml:space="preserve"> […]</w:t>
      </w:r>
    </w:p>
    <w:p w:rsidR="001F6428" w:rsidRPr="001F6428" w:rsidRDefault="001F6428" w:rsidP="000548ED">
      <w:pPr>
        <w:spacing w:after="120" w:line="276" w:lineRule="auto"/>
        <w:rPr>
          <w:rFonts w:ascii="Times New Roman" w:hAnsi="Times New Roman" w:cs="Times New Roman"/>
          <w:sz w:val="20"/>
          <w:lang w:val="fr-FR"/>
        </w:rPr>
      </w:pPr>
      <w:r>
        <w:rPr>
          <w:rFonts w:ascii="Times New Roman" w:hAnsi="Times New Roman" w:cs="Times New Roman"/>
          <w:sz w:val="20"/>
          <w:lang w:val="fr-FR"/>
        </w:rPr>
        <w:t xml:space="preserve">Source : Patrice </w:t>
      </w:r>
      <w:proofErr w:type="spellStart"/>
      <w:r>
        <w:rPr>
          <w:rFonts w:ascii="Times New Roman" w:hAnsi="Times New Roman" w:cs="Times New Roman"/>
          <w:sz w:val="20"/>
          <w:lang w:val="fr-FR"/>
        </w:rPr>
        <w:t>Bonnewitz</w:t>
      </w:r>
      <w:proofErr w:type="spellEnd"/>
      <w:r>
        <w:rPr>
          <w:rFonts w:ascii="Times New Roman" w:hAnsi="Times New Roman" w:cs="Times New Roman"/>
          <w:sz w:val="20"/>
          <w:lang w:val="fr-FR"/>
        </w:rPr>
        <w:t xml:space="preserve">, </w:t>
      </w:r>
      <w:r w:rsidRPr="001F6428">
        <w:rPr>
          <w:rFonts w:ascii="Times New Roman" w:hAnsi="Times New Roman" w:cs="Times New Roman"/>
          <w:i/>
          <w:sz w:val="20"/>
          <w:lang w:val="fr-FR"/>
        </w:rPr>
        <w:t>La sociologie de Pierre Bourdieu</w:t>
      </w:r>
      <w:r>
        <w:rPr>
          <w:rFonts w:ascii="Times New Roman" w:hAnsi="Times New Roman" w:cs="Times New Roman"/>
          <w:sz w:val="20"/>
          <w:lang w:val="fr-FR"/>
        </w:rPr>
        <w:t>, 1998</w:t>
      </w:r>
    </w:p>
    <w:sectPr w:rsidR="001F6428" w:rsidRPr="001F6428" w:rsidSect="00364B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B4D" w:rsidRDefault="00587A0B">
      <w:r>
        <w:separator/>
      </w:r>
    </w:p>
  </w:endnote>
  <w:endnote w:type="continuationSeparator" w:id="1">
    <w:p w:rsidR="00364B4D" w:rsidRDefault="00587A0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D6B" w:rsidRDefault="00821D6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D6B" w:rsidRPr="009C711D" w:rsidRDefault="00821D6B" w:rsidP="00821D6B">
    <w:pPr>
      <w:pStyle w:val="Pieddepage"/>
      <w:jc w:val="center"/>
      <w:rPr>
        <w:rFonts w:ascii="Arial" w:hAnsi="Arial"/>
        <w:sz w:val="20"/>
        <w:lang w:val="fr-FR"/>
      </w:rPr>
    </w:pPr>
    <w:r w:rsidRPr="009C711D">
      <w:rPr>
        <w:rFonts w:ascii="Arial" w:hAnsi="Arial"/>
        <w:sz w:val="20"/>
        <w:lang w:val="fr-FR"/>
      </w:rPr>
      <w:t>N'écrivez pas sur ce sujet, que vous devrez rendre en fin d'interrogation</w:t>
    </w:r>
  </w:p>
  <w:p w:rsidR="00821D6B" w:rsidRPr="009C711D" w:rsidRDefault="00821D6B" w:rsidP="00821D6B">
    <w:pPr>
      <w:pStyle w:val="Pieddepage"/>
      <w:rPr>
        <w:sz w:val="20"/>
        <w:lang w:val="fr-FR"/>
      </w:rPr>
    </w:pPr>
  </w:p>
  <w:p w:rsidR="00821D6B" w:rsidRPr="000A4F72" w:rsidRDefault="00821D6B">
    <w:pPr>
      <w:pStyle w:val="Pieddepage"/>
      <w:rPr>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D6B" w:rsidRDefault="00821D6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B4D" w:rsidRDefault="00587A0B">
      <w:r>
        <w:separator/>
      </w:r>
    </w:p>
  </w:footnote>
  <w:footnote w:type="continuationSeparator" w:id="1">
    <w:p w:rsidR="00364B4D" w:rsidRDefault="00587A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D6B" w:rsidRDefault="00821D6B">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D6B" w:rsidRDefault="00821D6B">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D6B" w:rsidRDefault="00821D6B">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08"/>
  <w:hyphenationZone w:val="425"/>
  <w:characterSpacingControl w:val="doNotCompress"/>
  <w:footnotePr>
    <w:footnote w:id="0"/>
    <w:footnote w:id="1"/>
  </w:footnotePr>
  <w:endnotePr>
    <w:endnote w:id="0"/>
    <w:endnote w:id="1"/>
  </w:endnotePr>
  <w:compat>
    <w:doNotBreakWrappedTab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10E77"/>
    <w:rsid w:val="00054151"/>
    <w:rsid w:val="000548ED"/>
    <w:rsid w:val="00063D38"/>
    <w:rsid w:val="00081188"/>
    <w:rsid w:val="000B1BC7"/>
    <w:rsid w:val="001120A9"/>
    <w:rsid w:val="00151C8A"/>
    <w:rsid w:val="001C6ED0"/>
    <w:rsid w:val="001F5EBA"/>
    <w:rsid w:val="001F6428"/>
    <w:rsid w:val="00267814"/>
    <w:rsid w:val="0027054C"/>
    <w:rsid w:val="00364B4D"/>
    <w:rsid w:val="003A5EE3"/>
    <w:rsid w:val="003F285F"/>
    <w:rsid w:val="00402C38"/>
    <w:rsid w:val="00466376"/>
    <w:rsid w:val="00467B33"/>
    <w:rsid w:val="004B71C2"/>
    <w:rsid w:val="00587A0B"/>
    <w:rsid w:val="005E6AA2"/>
    <w:rsid w:val="006637F4"/>
    <w:rsid w:val="006B1394"/>
    <w:rsid w:val="007572B6"/>
    <w:rsid w:val="00821D6B"/>
    <w:rsid w:val="008727F5"/>
    <w:rsid w:val="0092112C"/>
    <w:rsid w:val="00994E81"/>
    <w:rsid w:val="009F1452"/>
    <w:rsid w:val="00A45C54"/>
    <w:rsid w:val="00B1458E"/>
    <w:rsid w:val="00B615EB"/>
    <w:rsid w:val="00C10E77"/>
    <w:rsid w:val="00C4120B"/>
    <w:rsid w:val="00C902AF"/>
    <w:rsid w:val="00CA7E01"/>
    <w:rsid w:val="00E8643E"/>
    <w:rsid w:val="00EB0C60"/>
    <w:rsid w:val="00ED60D9"/>
    <w:rsid w:val="00F73463"/>
    <w:rsid w:val="00FA46A9"/>
    <w:rsid w:val="00FC0E94"/>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E77"/>
    <w:pPr>
      <w:widowControl w:val="0"/>
      <w:suppressAutoHyphens/>
    </w:pPr>
    <w:rPr>
      <w:rFonts w:ascii="Helvetica" w:eastAsia="Helvetica" w:hAnsi="Helvetica" w:cs="Helvetica"/>
      <w:sz w:val="24"/>
      <w:lang w:val="en-US"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C10E77"/>
    <w:pPr>
      <w:tabs>
        <w:tab w:val="center" w:pos="4536"/>
        <w:tab w:val="right" w:pos="9072"/>
      </w:tabs>
    </w:pPr>
    <w:rPr>
      <w:rFonts w:cs="Mangal"/>
    </w:rPr>
  </w:style>
  <w:style w:type="character" w:customStyle="1" w:styleId="En-tteCar">
    <w:name w:val="En-tête Car"/>
    <w:basedOn w:val="Policepardfaut"/>
    <w:link w:val="En-tte"/>
    <w:uiPriority w:val="99"/>
    <w:semiHidden/>
    <w:rsid w:val="00C10E77"/>
    <w:rPr>
      <w:rFonts w:ascii="Helvetica" w:eastAsia="Helvetica" w:hAnsi="Helvetica" w:cs="Mangal"/>
      <w:sz w:val="24"/>
      <w:szCs w:val="20"/>
      <w:lang w:val="en-US" w:eastAsia="hi-IN" w:bidi="hi-IN"/>
    </w:rPr>
  </w:style>
  <w:style w:type="paragraph" w:styleId="Pieddepage">
    <w:name w:val="footer"/>
    <w:basedOn w:val="Normal"/>
    <w:link w:val="PieddepageCar"/>
    <w:uiPriority w:val="99"/>
    <w:semiHidden/>
    <w:unhideWhenUsed/>
    <w:rsid w:val="00C10E77"/>
    <w:pPr>
      <w:tabs>
        <w:tab w:val="center" w:pos="4536"/>
        <w:tab w:val="right" w:pos="9072"/>
      </w:tabs>
    </w:pPr>
    <w:rPr>
      <w:rFonts w:cs="Mangal"/>
    </w:rPr>
  </w:style>
  <w:style w:type="character" w:customStyle="1" w:styleId="PieddepageCar">
    <w:name w:val="Pied de page Car"/>
    <w:basedOn w:val="Policepardfaut"/>
    <w:link w:val="Pieddepage"/>
    <w:uiPriority w:val="99"/>
    <w:semiHidden/>
    <w:rsid w:val="00C10E77"/>
    <w:rPr>
      <w:rFonts w:ascii="Helvetica" w:eastAsia="Helvetica" w:hAnsi="Helvetica" w:cs="Mangal"/>
      <w:sz w:val="24"/>
      <w:szCs w:val="20"/>
      <w:lang w:val="en-US" w:eastAsia="hi-IN" w:bidi="hi-IN"/>
    </w:rPr>
  </w:style>
  <w:style w:type="table" w:styleId="Grilledutableau">
    <w:name w:val="Table Grid"/>
    <w:basedOn w:val="TableauNormal"/>
    <w:uiPriority w:val="59"/>
    <w:rsid w:val="003F2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530</Words>
  <Characters>2918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dc:creator>
  <cp:keywords/>
  <cp:lastModifiedBy>LEMOINE</cp:lastModifiedBy>
  <cp:revision>6</cp:revision>
  <dcterms:created xsi:type="dcterms:W3CDTF">2014-03-19T10:39:00Z</dcterms:created>
  <dcterms:modified xsi:type="dcterms:W3CDTF">2014-04-06T09:34:00Z</dcterms:modified>
</cp:coreProperties>
</file>