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b/>
                <w:sz w:val="22"/>
                <w:szCs w:val="22"/>
                <w:lang w:val="fr-FR"/>
              </w:rPr>
              <w:t>Académie d'AMIEN</w:t>
            </w:r>
            <w:r w:rsidR="00ED721C">
              <w:rPr>
                <w:rFonts w:ascii="Times New Roman" w:hAnsi="Times New Roman" w:cs="Times New Roman"/>
                <w:b/>
                <w:sz w:val="22"/>
                <w:szCs w:val="22"/>
                <w:lang w:val="fr-FR"/>
              </w:rPr>
              <w:t>S Baccalauréat ES - Session 2014</w:t>
            </w:r>
          </w:p>
        </w:tc>
        <w:tc>
          <w:tcPr>
            <w:tcW w:w="4678" w:type="dxa"/>
          </w:tcPr>
          <w:p w:rsidR="00E167D7" w:rsidRPr="003B5463" w:rsidRDefault="00CC6BFE"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Epreuve o</w:t>
            </w:r>
            <w:r w:rsidR="00E167D7" w:rsidRPr="003B5463">
              <w:rPr>
                <w:rFonts w:ascii="Times New Roman" w:hAnsi="Times New Roman" w:cs="Times New Roman"/>
                <w:b/>
                <w:sz w:val="22"/>
                <w:szCs w:val="22"/>
                <w:lang w:val="fr-FR"/>
              </w:rPr>
              <w:t>ral</w:t>
            </w:r>
            <w:r w:rsidRPr="003B5463">
              <w:rPr>
                <w:rFonts w:ascii="Times New Roman" w:hAnsi="Times New Roman" w:cs="Times New Roman"/>
                <w:b/>
                <w:sz w:val="22"/>
                <w:szCs w:val="22"/>
                <w:lang w:val="fr-FR"/>
              </w:rPr>
              <w:t>e</w:t>
            </w:r>
            <w:r w:rsidR="00E167D7" w:rsidRPr="003B5463">
              <w:rPr>
                <w:rFonts w:ascii="Times New Roman" w:hAnsi="Times New Roman" w:cs="Times New Roman"/>
                <w:b/>
                <w:sz w:val="22"/>
                <w:szCs w:val="22"/>
                <w:lang w:val="fr-FR"/>
              </w:rPr>
              <w:t xml:space="preserve"> de Sciences économiques et sociales (</w:t>
            </w:r>
            <w:r w:rsidR="00AD640E" w:rsidRPr="003B5463">
              <w:rPr>
                <w:rFonts w:ascii="Times New Roman" w:hAnsi="Times New Roman" w:cs="Times New Roman"/>
                <w:b/>
                <w:sz w:val="22"/>
                <w:szCs w:val="22"/>
                <w:lang w:val="fr-FR"/>
              </w:rPr>
              <w:t>Enseignement de spécialité</w:t>
            </w:r>
            <w:r w:rsidR="00E167D7" w:rsidRPr="003B5463">
              <w:rPr>
                <w:rFonts w:ascii="Times New Roman" w:hAnsi="Times New Roman" w:cs="Times New Roman"/>
                <w:b/>
                <w:sz w:val="22"/>
                <w:szCs w:val="22"/>
                <w:lang w:val="fr-FR"/>
              </w:rPr>
              <w:t> </w:t>
            </w:r>
            <w:r w:rsidR="00AD640E" w:rsidRPr="003B5463">
              <w:rPr>
                <w:rFonts w:ascii="Times New Roman" w:hAnsi="Times New Roman" w:cs="Times New Roman"/>
                <w:b/>
                <w:sz w:val="22"/>
                <w:szCs w:val="22"/>
                <w:lang w:val="fr-FR"/>
              </w:rPr>
              <w:t>« SCIENCES SOCIALES ET POLITIQUES »</w:t>
            </w:r>
            <w:r w:rsidR="00D954AF" w:rsidRPr="003B5463">
              <w:rPr>
                <w:rFonts w:ascii="Times New Roman" w:hAnsi="Times New Roman" w:cs="Times New Roman"/>
                <w:b/>
                <w:sz w:val="22"/>
                <w:szCs w:val="22"/>
                <w:lang w:val="fr-FR"/>
              </w:rPr>
              <w:t xml:space="preserve"> : </w:t>
            </w:r>
            <w:r w:rsidR="00AD640E" w:rsidRPr="003B5463">
              <w:rPr>
                <w:rFonts w:ascii="Times New Roman" w:hAnsi="Times New Roman" w:cs="Times New Roman"/>
                <w:b/>
                <w:sz w:val="22"/>
                <w:szCs w:val="22"/>
                <w:lang w:val="fr-FR"/>
              </w:rPr>
              <w:t>coefficient 9</w:t>
            </w:r>
            <w:r w:rsidR="00E167D7" w:rsidRPr="003B5463">
              <w:rPr>
                <w:rFonts w:ascii="Times New Roman" w:hAnsi="Times New Roman" w:cs="Times New Roman"/>
                <w:b/>
                <w:sz w:val="22"/>
                <w:szCs w:val="22"/>
                <w:lang w:val="fr-FR"/>
              </w:rPr>
              <w:t>)</w:t>
            </w:r>
          </w:p>
        </w:tc>
        <w:tc>
          <w:tcPr>
            <w:tcW w:w="2582" w:type="dxa"/>
          </w:tcPr>
          <w:p w:rsidR="00E167D7" w:rsidRPr="003B5463" w:rsidRDefault="00ED721C">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CC6BFE" w:rsidRPr="003B5463">
              <w:rPr>
                <w:rFonts w:ascii="Times New Roman" w:hAnsi="Times New Roman" w:cs="Times New Roman"/>
                <w:b/>
                <w:sz w:val="22"/>
                <w:szCs w:val="22"/>
              </w:rPr>
              <w:t>c9</w:t>
            </w:r>
            <w:r w:rsidR="00E167D7" w:rsidRPr="003B5463">
              <w:rPr>
                <w:rFonts w:ascii="Times New Roman" w:hAnsi="Times New Roman" w:cs="Times New Roman"/>
                <w:b/>
                <w:sz w:val="22"/>
                <w:szCs w:val="22"/>
              </w:rPr>
              <w:t>-</w:t>
            </w:r>
            <w:r w:rsidR="00214E34">
              <w:rPr>
                <w:rFonts w:ascii="Times New Roman" w:hAnsi="Times New Roman" w:cs="Times New Roman"/>
                <w:b/>
                <w:sz w:val="22"/>
                <w:szCs w:val="22"/>
              </w:rPr>
              <w:t>1-31-2</w:t>
            </w:r>
          </w:p>
        </w:tc>
      </w:tr>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sz w:val="22"/>
                <w:szCs w:val="22"/>
                <w:lang w:val="fr-FR"/>
              </w:rPr>
              <w:t>Durée de la préparation : 30 minutes</w:t>
            </w:r>
          </w:p>
        </w:tc>
        <w:tc>
          <w:tcPr>
            <w:tcW w:w="4678" w:type="dxa"/>
          </w:tcPr>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 candidat s’appuiera sur les </w:t>
            </w:r>
            <w:r w:rsidR="00CC6BFE" w:rsidRPr="003B5463">
              <w:rPr>
                <w:rFonts w:ascii="Times New Roman" w:hAnsi="Times New Roman" w:cs="Times New Roman"/>
                <w:b/>
                <w:sz w:val="22"/>
                <w:szCs w:val="22"/>
                <w:lang w:val="fr-FR"/>
              </w:rPr>
              <w:t>2 documents</w:t>
            </w:r>
            <w:r w:rsidRPr="003B5463">
              <w:rPr>
                <w:rFonts w:ascii="Times New Roman" w:hAnsi="Times New Roman" w:cs="Times New Roman"/>
                <w:b/>
                <w:sz w:val="22"/>
                <w:szCs w:val="22"/>
                <w:lang w:val="fr-FR"/>
              </w:rPr>
              <w:t xml:space="preserve"> pour répondre à la question principale.</w:t>
            </w:r>
          </w:p>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Les questions complémentaires 2 et 3 porteront sur </w:t>
            </w:r>
            <w:r w:rsidR="00AD640E" w:rsidRPr="003B5463">
              <w:rPr>
                <w:rFonts w:ascii="Times New Roman" w:hAnsi="Times New Roman" w:cs="Times New Roman"/>
                <w:b/>
                <w:sz w:val="22"/>
                <w:szCs w:val="22"/>
                <w:lang w:val="fr-FR"/>
              </w:rPr>
              <w:t>l’enseignement de spécialité</w:t>
            </w:r>
          </w:p>
        </w:tc>
        <w:tc>
          <w:tcPr>
            <w:tcW w:w="2582" w:type="dxa"/>
          </w:tcPr>
          <w:p w:rsidR="00E167D7" w:rsidRPr="003B5463" w:rsidRDefault="00E167D7">
            <w:pPr>
              <w:rPr>
                <w:rFonts w:ascii="Times New Roman" w:hAnsi="Times New Roman" w:cs="Times New Roman"/>
                <w:sz w:val="22"/>
                <w:szCs w:val="22"/>
                <w:lang w:val="fr-FR"/>
              </w:rPr>
            </w:pPr>
            <w:proofErr w:type="spellStart"/>
            <w:r w:rsidRPr="003B5463">
              <w:rPr>
                <w:rFonts w:ascii="Times New Roman" w:hAnsi="Times New Roman" w:cs="Times New Roman"/>
                <w:sz w:val="22"/>
                <w:szCs w:val="22"/>
              </w:rPr>
              <w:t>Durée</w:t>
            </w:r>
            <w:proofErr w:type="spellEnd"/>
            <w:r w:rsidRPr="003B5463">
              <w:rPr>
                <w:rFonts w:ascii="Times New Roman" w:hAnsi="Times New Roman" w:cs="Times New Roman"/>
                <w:sz w:val="22"/>
                <w:szCs w:val="22"/>
              </w:rPr>
              <w:t xml:space="preserve"> de </w:t>
            </w:r>
            <w:proofErr w:type="spellStart"/>
            <w:r w:rsidRPr="003B5463">
              <w:rPr>
                <w:rFonts w:ascii="Times New Roman" w:hAnsi="Times New Roman" w:cs="Times New Roman"/>
                <w:sz w:val="22"/>
                <w:szCs w:val="22"/>
              </w:rPr>
              <w:t>l'interrogation</w:t>
            </w:r>
            <w:proofErr w:type="spellEnd"/>
            <w:r w:rsidRPr="003B5463">
              <w:rPr>
                <w:rFonts w:ascii="Times New Roman" w:hAnsi="Times New Roman" w:cs="Times New Roman"/>
                <w:sz w:val="22"/>
                <w:szCs w:val="22"/>
              </w:rPr>
              <w:t xml:space="preserve"> : 20 minutes</w:t>
            </w:r>
          </w:p>
        </w:tc>
      </w:tr>
      <w:tr w:rsidR="00E167D7" w:rsidRPr="00214E34"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Thème de la question principale :</w:t>
            </w:r>
            <w:r w:rsidR="00214E34">
              <w:rPr>
                <w:rFonts w:ascii="Times New Roman" w:hAnsi="Times New Roman" w:cs="Times New Roman"/>
                <w:b/>
                <w:sz w:val="22"/>
                <w:szCs w:val="22"/>
                <w:lang w:val="fr-FR"/>
              </w:rPr>
              <w:t xml:space="preserve"> La croissance économique est-elle compatible avec la préservation de l’environnement ?</w:t>
            </w:r>
          </w:p>
        </w:tc>
      </w:tr>
      <w:tr w:rsidR="00E167D7" w:rsidRPr="00214E34" w:rsidTr="003A16BA">
        <w:tc>
          <w:tcPr>
            <w:tcW w:w="9778" w:type="dxa"/>
            <w:gridSpan w:val="3"/>
          </w:tcPr>
          <w:p w:rsidR="00E167D7" w:rsidRPr="00214E34" w:rsidRDefault="00E167D7">
            <w:pPr>
              <w:rPr>
                <w:rFonts w:ascii="Times New Roman" w:hAnsi="Times New Roman" w:cs="Times New Roman"/>
                <w:b/>
                <w:sz w:val="22"/>
                <w:szCs w:val="22"/>
                <w:lang w:val="fr-FR"/>
              </w:rPr>
            </w:pPr>
            <w:r w:rsidRPr="00214E34">
              <w:rPr>
                <w:rFonts w:ascii="Times New Roman" w:hAnsi="Times New Roman" w:cs="Times New Roman"/>
                <w:b/>
                <w:sz w:val="22"/>
                <w:szCs w:val="22"/>
                <w:lang w:val="fr-FR"/>
              </w:rPr>
              <w:t>Question principale (sur 10 points) :</w:t>
            </w:r>
          </w:p>
          <w:p w:rsidR="00E167D7" w:rsidRPr="00214E34" w:rsidRDefault="00DA1297">
            <w:pPr>
              <w:rPr>
                <w:rFonts w:ascii="Times New Roman" w:hAnsi="Times New Roman" w:cs="Times New Roman"/>
                <w:b/>
                <w:sz w:val="22"/>
                <w:szCs w:val="22"/>
                <w:lang w:val="fr-FR"/>
              </w:rPr>
            </w:pPr>
            <w:r w:rsidRPr="00214E34">
              <w:rPr>
                <w:rFonts w:ascii="Times New Roman" w:hAnsi="Times New Roman" w:cs="Times New Roman"/>
                <w:b/>
                <w:sz w:val="22"/>
                <w:szCs w:val="22"/>
                <w:lang w:val="fr-FR"/>
              </w:rPr>
              <w:t>Quels sont les instruments dont disposent les pouvoirs publics pour mener une politique environnementale ?</w:t>
            </w:r>
          </w:p>
        </w:tc>
      </w:tr>
      <w:tr w:rsidR="00E167D7" w:rsidRPr="003B5463"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Questions complémentaires (sur 10 points) :</w:t>
            </w:r>
          </w:p>
        </w:tc>
      </w:tr>
      <w:tr w:rsidR="00E167D7" w:rsidRPr="003B5463"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1</w:t>
            </w:r>
            <w:r w:rsidR="00E167D7" w:rsidRPr="003B5463">
              <w:rPr>
                <w:rFonts w:ascii="Times New Roman" w:hAnsi="Times New Roman" w:cs="Times New Roman"/>
                <w:sz w:val="22"/>
                <w:szCs w:val="22"/>
                <w:lang w:val="fr-FR"/>
              </w:rPr>
              <w:t xml:space="preserve">) </w:t>
            </w:r>
            <w:r w:rsidR="00415EC6">
              <w:rPr>
                <w:rFonts w:ascii="Times New Roman" w:hAnsi="Times New Roman" w:cs="Times New Roman"/>
                <w:sz w:val="22"/>
                <w:szCs w:val="22"/>
                <w:lang w:val="fr-FR"/>
              </w:rPr>
              <w:t xml:space="preserve">Mesurez </w:t>
            </w:r>
            <w:r w:rsidR="00610B20">
              <w:rPr>
                <w:rFonts w:ascii="Times New Roman" w:hAnsi="Times New Roman" w:cs="Times New Roman"/>
                <w:sz w:val="22"/>
                <w:szCs w:val="22"/>
                <w:lang w:val="fr-FR"/>
              </w:rPr>
              <w:t>l’évolution de la valeur des transactions de quotas européens entre 2005 et 2009 à l’aide d</w:t>
            </w:r>
            <w:r w:rsidR="00051352">
              <w:rPr>
                <w:rFonts w:ascii="Times New Roman" w:hAnsi="Times New Roman" w:cs="Times New Roman"/>
                <w:sz w:val="22"/>
                <w:szCs w:val="22"/>
                <w:lang w:val="fr-FR"/>
              </w:rPr>
              <w:t xml:space="preserve">’un outil </w:t>
            </w:r>
            <w:r w:rsidR="00610B20">
              <w:rPr>
                <w:rFonts w:ascii="Times New Roman" w:hAnsi="Times New Roman" w:cs="Times New Roman"/>
                <w:sz w:val="22"/>
                <w:szCs w:val="22"/>
                <w:lang w:val="fr-FR"/>
              </w:rPr>
              <w:t>de votre choix. (Document 1). (4 points)</w:t>
            </w:r>
          </w:p>
        </w:tc>
      </w:tr>
      <w:tr w:rsidR="00E167D7" w:rsidRPr="003B5463"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2</w:t>
            </w:r>
            <w:r w:rsidR="00E167D7" w:rsidRPr="003B5463">
              <w:rPr>
                <w:rFonts w:ascii="Times New Roman" w:hAnsi="Times New Roman" w:cs="Times New Roman"/>
                <w:sz w:val="22"/>
                <w:szCs w:val="22"/>
                <w:lang w:val="fr-FR"/>
              </w:rPr>
              <w:t xml:space="preserve">) </w:t>
            </w:r>
            <w:r w:rsidR="00415EC6">
              <w:rPr>
                <w:rFonts w:ascii="Times New Roman" w:hAnsi="Times New Roman" w:cs="Times New Roman"/>
                <w:sz w:val="22"/>
                <w:szCs w:val="22"/>
                <w:lang w:val="fr-FR"/>
              </w:rPr>
              <w:t>Quelles sont les caractéristiques d’un régime parlementaire ? (3 points)</w:t>
            </w:r>
          </w:p>
        </w:tc>
      </w:tr>
      <w:tr w:rsidR="00E167D7" w:rsidRPr="003B5463"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3</w:t>
            </w:r>
            <w:r w:rsidR="00E167D7" w:rsidRPr="003B5463">
              <w:rPr>
                <w:rFonts w:ascii="Times New Roman" w:hAnsi="Times New Roman" w:cs="Times New Roman"/>
                <w:sz w:val="22"/>
                <w:szCs w:val="22"/>
                <w:lang w:val="fr-FR"/>
              </w:rPr>
              <w:t>)</w:t>
            </w:r>
            <w:r w:rsidR="00415EC6">
              <w:rPr>
                <w:rFonts w:ascii="Times New Roman" w:hAnsi="Times New Roman" w:cs="Times New Roman"/>
                <w:sz w:val="22"/>
                <w:szCs w:val="22"/>
                <w:lang w:val="fr-FR"/>
              </w:rPr>
              <w:t xml:space="preserve"> Quel rôle joue la famille dans la socialisation politique ? (3 points)</w:t>
            </w:r>
          </w:p>
        </w:tc>
      </w:tr>
    </w:tbl>
    <w:p w:rsidR="003A16BA" w:rsidRPr="003B5463" w:rsidRDefault="003A16BA">
      <w:pPr>
        <w:rPr>
          <w:rFonts w:ascii="Times New Roman" w:hAnsi="Times New Roman" w:cs="Times New Roman"/>
          <w:sz w:val="22"/>
          <w:szCs w:val="22"/>
          <w:lang w:val="fr-FR"/>
        </w:rPr>
      </w:pPr>
    </w:p>
    <w:p w:rsidR="00D35E59"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1</w:t>
      </w:r>
    </w:p>
    <w:p w:rsidR="00214E34" w:rsidRPr="008A69D3" w:rsidRDefault="00214E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8A69D3" w:rsidRDefault="008A69D3" w:rsidP="008A69D3">
      <w:pPr>
        <w:widowControl/>
        <w:suppressAutoHyphens w:val="0"/>
        <w:rPr>
          <w:rFonts w:ascii="Times New Roman" w:eastAsia="Times New Roman" w:hAnsi="Times New Roman" w:cs="Times New Roman"/>
          <w:szCs w:val="24"/>
          <w:lang w:val="fr-FR" w:eastAsia="fr-FR" w:bidi="ar-SA"/>
        </w:rPr>
      </w:pPr>
      <w:r w:rsidRPr="008A69D3">
        <w:rPr>
          <w:rFonts w:ascii="Times New Roman" w:eastAsia="Times New Roman" w:hAnsi="Times New Roman" w:cs="Times New Roman"/>
          <w:szCs w:val="24"/>
          <w:lang w:val="fr-FR" w:eastAsia="fr-FR" w:bidi="ar-SA"/>
        </w:rPr>
        <w:t>Volumes de transactions de quotas européens depuis le lancement du système  d’échange de quotas.</w:t>
      </w:r>
    </w:p>
    <w:p w:rsidR="008A69D3" w:rsidRPr="008A69D3" w:rsidRDefault="008A69D3" w:rsidP="008A69D3">
      <w:pPr>
        <w:widowControl/>
        <w:suppressAutoHyphens w:val="0"/>
        <w:rPr>
          <w:rFonts w:ascii="Times New Roman" w:eastAsia="Times New Roman" w:hAnsi="Times New Roman" w:cs="Times New Roman"/>
          <w:szCs w:val="24"/>
          <w:lang w:val="fr-FR" w:eastAsia="fr-FR"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26"/>
        <w:gridCol w:w="2268"/>
        <w:gridCol w:w="2126"/>
      </w:tblGrid>
      <w:tr w:rsidR="008A69D3" w:rsidRPr="00214E34" w:rsidTr="00E070BE">
        <w:tc>
          <w:tcPr>
            <w:tcW w:w="959" w:type="dxa"/>
          </w:tcPr>
          <w:p w:rsidR="008A69D3" w:rsidRPr="00E070BE" w:rsidRDefault="008A69D3" w:rsidP="00E070BE">
            <w:pPr>
              <w:widowControl/>
              <w:suppressAutoHyphens w:val="0"/>
              <w:rPr>
                <w:rFonts w:ascii="Times New Roman" w:eastAsia="Times New Roman" w:hAnsi="Times New Roman" w:cs="Times New Roman"/>
                <w:szCs w:val="24"/>
                <w:lang w:val="fr-FR" w:eastAsia="fr-FR" w:bidi="ar-SA"/>
              </w:rPr>
            </w:pPr>
          </w:p>
        </w:tc>
        <w:tc>
          <w:tcPr>
            <w:tcW w:w="2126" w:type="dxa"/>
          </w:tcPr>
          <w:p w:rsidR="008A69D3" w:rsidRPr="00214E34" w:rsidRDefault="008A69D3" w:rsidP="00214E34">
            <w:pPr>
              <w:widowControl/>
              <w:suppressAutoHyphens w:val="0"/>
              <w:jc w:val="center"/>
              <w:rPr>
                <w:rFonts w:ascii="Times New Roman" w:eastAsia="Times New Roman" w:hAnsi="Times New Roman" w:cs="Times New Roman"/>
                <w:b/>
                <w:szCs w:val="24"/>
                <w:lang w:val="fr-FR" w:eastAsia="fr-FR" w:bidi="ar-SA"/>
              </w:rPr>
            </w:pPr>
            <w:r w:rsidRPr="00214E34">
              <w:rPr>
                <w:rFonts w:ascii="Times New Roman" w:eastAsia="Times New Roman" w:hAnsi="Times New Roman" w:cs="Times New Roman"/>
                <w:b/>
                <w:szCs w:val="24"/>
                <w:lang w:val="fr-FR" w:eastAsia="fr-FR" w:bidi="ar-SA"/>
              </w:rPr>
              <w:t>Volume échangé</w:t>
            </w:r>
          </w:p>
          <w:p w:rsidR="008A69D3" w:rsidRPr="00214E34" w:rsidRDefault="008A69D3" w:rsidP="00214E34">
            <w:pPr>
              <w:widowControl/>
              <w:suppressAutoHyphens w:val="0"/>
              <w:jc w:val="center"/>
              <w:rPr>
                <w:rFonts w:ascii="Times New Roman" w:eastAsia="Times New Roman" w:hAnsi="Times New Roman" w:cs="Times New Roman"/>
                <w:b/>
                <w:szCs w:val="24"/>
                <w:lang w:val="fr-FR" w:eastAsia="fr-FR" w:bidi="ar-SA"/>
              </w:rPr>
            </w:pPr>
            <w:r w:rsidRPr="00214E34">
              <w:rPr>
                <w:rFonts w:ascii="Times New Roman" w:eastAsia="Times New Roman" w:hAnsi="Times New Roman" w:cs="Times New Roman"/>
                <w:b/>
                <w:szCs w:val="24"/>
                <w:lang w:val="fr-FR" w:eastAsia="fr-FR" w:bidi="ar-SA"/>
              </w:rPr>
              <w:t>(en millions de quotas)</w:t>
            </w:r>
          </w:p>
        </w:tc>
        <w:tc>
          <w:tcPr>
            <w:tcW w:w="2268" w:type="dxa"/>
          </w:tcPr>
          <w:p w:rsidR="008A69D3" w:rsidRPr="00214E34" w:rsidRDefault="008A69D3" w:rsidP="00214E34">
            <w:pPr>
              <w:widowControl/>
              <w:suppressAutoHyphens w:val="0"/>
              <w:jc w:val="center"/>
              <w:rPr>
                <w:rFonts w:ascii="Times New Roman" w:eastAsia="Times New Roman" w:hAnsi="Times New Roman" w:cs="Times New Roman"/>
                <w:b/>
                <w:szCs w:val="24"/>
                <w:lang w:val="fr-FR" w:eastAsia="fr-FR" w:bidi="ar-SA"/>
              </w:rPr>
            </w:pPr>
            <w:r w:rsidRPr="00214E34">
              <w:rPr>
                <w:rFonts w:ascii="Times New Roman" w:eastAsia="Times New Roman" w:hAnsi="Times New Roman" w:cs="Times New Roman"/>
                <w:b/>
                <w:szCs w:val="24"/>
                <w:lang w:val="fr-FR" w:eastAsia="fr-FR" w:bidi="ar-SA"/>
              </w:rPr>
              <w:t>Valeur des transactions</w:t>
            </w:r>
          </w:p>
          <w:p w:rsidR="008A69D3" w:rsidRPr="00214E34" w:rsidRDefault="008A69D3" w:rsidP="00214E34">
            <w:pPr>
              <w:widowControl/>
              <w:suppressAutoHyphens w:val="0"/>
              <w:jc w:val="center"/>
              <w:rPr>
                <w:rFonts w:ascii="Times New Roman" w:eastAsia="Times New Roman" w:hAnsi="Times New Roman" w:cs="Times New Roman"/>
                <w:b/>
                <w:szCs w:val="24"/>
                <w:lang w:val="fr-FR" w:eastAsia="fr-FR" w:bidi="ar-SA"/>
              </w:rPr>
            </w:pPr>
            <w:r w:rsidRPr="00214E34">
              <w:rPr>
                <w:rFonts w:ascii="Times New Roman" w:eastAsia="Times New Roman" w:hAnsi="Times New Roman" w:cs="Times New Roman"/>
                <w:b/>
                <w:szCs w:val="24"/>
                <w:lang w:val="fr-FR" w:eastAsia="fr-FR" w:bidi="ar-SA"/>
              </w:rPr>
              <w:t>(en millions d’euros)</w:t>
            </w:r>
          </w:p>
          <w:p w:rsidR="008A69D3" w:rsidRPr="00214E34" w:rsidRDefault="008A69D3" w:rsidP="00214E34">
            <w:pPr>
              <w:widowControl/>
              <w:suppressAutoHyphens w:val="0"/>
              <w:jc w:val="center"/>
              <w:rPr>
                <w:rFonts w:ascii="Times New Roman" w:eastAsia="Times New Roman" w:hAnsi="Times New Roman" w:cs="Times New Roman"/>
                <w:b/>
                <w:szCs w:val="24"/>
                <w:lang w:val="fr-FR" w:eastAsia="fr-FR" w:bidi="ar-SA"/>
              </w:rPr>
            </w:pPr>
          </w:p>
        </w:tc>
        <w:tc>
          <w:tcPr>
            <w:tcW w:w="2126" w:type="dxa"/>
          </w:tcPr>
          <w:p w:rsidR="008A69D3" w:rsidRPr="00214E34" w:rsidRDefault="008A69D3" w:rsidP="00214E34">
            <w:pPr>
              <w:widowControl/>
              <w:suppressAutoHyphens w:val="0"/>
              <w:jc w:val="center"/>
              <w:rPr>
                <w:rFonts w:ascii="Times New Roman" w:eastAsia="Times New Roman" w:hAnsi="Times New Roman" w:cs="Times New Roman"/>
                <w:b/>
                <w:szCs w:val="24"/>
                <w:lang w:val="fr-FR" w:eastAsia="fr-FR" w:bidi="ar-SA"/>
              </w:rPr>
            </w:pPr>
            <w:r w:rsidRPr="00214E34">
              <w:rPr>
                <w:rFonts w:ascii="Times New Roman" w:eastAsia="Times New Roman" w:hAnsi="Times New Roman" w:cs="Times New Roman"/>
                <w:b/>
                <w:szCs w:val="24"/>
                <w:lang w:val="fr-FR" w:eastAsia="fr-FR" w:bidi="ar-SA"/>
              </w:rPr>
              <w:t>Prix moyen du quota</w:t>
            </w:r>
          </w:p>
          <w:p w:rsidR="008A69D3" w:rsidRPr="00214E34" w:rsidRDefault="008A69D3" w:rsidP="00214E34">
            <w:pPr>
              <w:widowControl/>
              <w:suppressAutoHyphens w:val="0"/>
              <w:jc w:val="center"/>
              <w:rPr>
                <w:rFonts w:ascii="Times New Roman" w:eastAsia="Times New Roman" w:hAnsi="Times New Roman" w:cs="Times New Roman"/>
                <w:b/>
                <w:szCs w:val="24"/>
                <w:lang w:val="fr-FR" w:eastAsia="fr-FR" w:bidi="ar-SA"/>
              </w:rPr>
            </w:pPr>
            <w:r w:rsidRPr="00214E34">
              <w:rPr>
                <w:rFonts w:ascii="Times New Roman" w:eastAsia="Times New Roman" w:hAnsi="Times New Roman" w:cs="Times New Roman"/>
                <w:b/>
                <w:szCs w:val="24"/>
                <w:lang w:val="fr-FR" w:eastAsia="fr-FR" w:bidi="ar-SA"/>
              </w:rPr>
              <w:t>(en euro)</w:t>
            </w:r>
          </w:p>
        </w:tc>
      </w:tr>
      <w:tr w:rsidR="008A69D3" w:rsidRPr="00E070BE" w:rsidTr="00E070BE">
        <w:tc>
          <w:tcPr>
            <w:tcW w:w="959" w:type="dxa"/>
          </w:tcPr>
          <w:p w:rsidR="008A69D3" w:rsidRPr="00E070BE" w:rsidRDefault="008A69D3" w:rsidP="00E070BE">
            <w:pPr>
              <w:widowControl/>
              <w:suppressAutoHyphens w:val="0"/>
              <w:spacing w:line="360" w:lineRule="auto"/>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2005</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262</w:t>
            </w:r>
          </w:p>
        </w:tc>
        <w:tc>
          <w:tcPr>
            <w:tcW w:w="2268"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5 400</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20,6</w:t>
            </w:r>
          </w:p>
        </w:tc>
      </w:tr>
      <w:tr w:rsidR="008A69D3" w:rsidRPr="00E070BE" w:rsidTr="00E070BE">
        <w:tc>
          <w:tcPr>
            <w:tcW w:w="959" w:type="dxa"/>
          </w:tcPr>
          <w:p w:rsidR="008A69D3" w:rsidRPr="00E070BE" w:rsidRDefault="008A69D3" w:rsidP="00E070BE">
            <w:pPr>
              <w:widowControl/>
              <w:suppressAutoHyphens w:val="0"/>
              <w:spacing w:line="360" w:lineRule="auto"/>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2006</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828</w:t>
            </w:r>
          </w:p>
        </w:tc>
        <w:tc>
          <w:tcPr>
            <w:tcW w:w="2268"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14 500</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17,5</w:t>
            </w:r>
          </w:p>
        </w:tc>
      </w:tr>
      <w:tr w:rsidR="008A69D3" w:rsidRPr="00E070BE" w:rsidTr="00E070BE">
        <w:tc>
          <w:tcPr>
            <w:tcW w:w="959" w:type="dxa"/>
          </w:tcPr>
          <w:p w:rsidR="008A69D3" w:rsidRPr="00E070BE" w:rsidRDefault="008A69D3" w:rsidP="00E070BE">
            <w:pPr>
              <w:widowControl/>
              <w:suppressAutoHyphens w:val="0"/>
              <w:spacing w:line="360" w:lineRule="auto"/>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2007</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1 458</w:t>
            </w:r>
          </w:p>
        </w:tc>
        <w:tc>
          <w:tcPr>
            <w:tcW w:w="2268"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25 200</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17,3</w:t>
            </w:r>
          </w:p>
        </w:tc>
      </w:tr>
      <w:tr w:rsidR="008A69D3" w:rsidRPr="00E070BE" w:rsidTr="00E070BE">
        <w:tc>
          <w:tcPr>
            <w:tcW w:w="959" w:type="dxa"/>
          </w:tcPr>
          <w:p w:rsidR="008A69D3" w:rsidRPr="00E070BE" w:rsidRDefault="008A69D3" w:rsidP="00E070BE">
            <w:pPr>
              <w:widowControl/>
              <w:suppressAutoHyphens w:val="0"/>
              <w:spacing w:line="360" w:lineRule="auto"/>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2008</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2 731</w:t>
            </w:r>
          </w:p>
        </w:tc>
        <w:tc>
          <w:tcPr>
            <w:tcW w:w="2268"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61 200</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22,4</w:t>
            </w:r>
          </w:p>
        </w:tc>
      </w:tr>
      <w:tr w:rsidR="008A69D3" w:rsidRPr="00E070BE" w:rsidTr="00E070BE">
        <w:tc>
          <w:tcPr>
            <w:tcW w:w="959" w:type="dxa"/>
          </w:tcPr>
          <w:p w:rsidR="008A69D3" w:rsidRPr="00E070BE" w:rsidRDefault="008A69D3" w:rsidP="00E070BE">
            <w:pPr>
              <w:widowControl/>
              <w:suppressAutoHyphens w:val="0"/>
              <w:spacing w:line="360" w:lineRule="auto"/>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2009</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5 016</w:t>
            </w:r>
          </w:p>
        </w:tc>
        <w:tc>
          <w:tcPr>
            <w:tcW w:w="2268"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65 900</w:t>
            </w:r>
          </w:p>
        </w:tc>
        <w:tc>
          <w:tcPr>
            <w:tcW w:w="2126" w:type="dxa"/>
          </w:tcPr>
          <w:p w:rsidR="008A69D3" w:rsidRPr="00E070BE" w:rsidRDefault="008A69D3" w:rsidP="00214E34">
            <w:pPr>
              <w:widowControl/>
              <w:suppressAutoHyphens w:val="0"/>
              <w:spacing w:line="360" w:lineRule="auto"/>
              <w:jc w:val="center"/>
              <w:rPr>
                <w:rFonts w:ascii="Times New Roman" w:eastAsia="Times New Roman" w:hAnsi="Times New Roman" w:cs="Times New Roman"/>
                <w:szCs w:val="24"/>
                <w:lang w:val="fr-FR" w:eastAsia="fr-FR" w:bidi="ar-SA"/>
              </w:rPr>
            </w:pPr>
            <w:r w:rsidRPr="00E070BE">
              <w:rPr>
                <w:rFonts w:ascii="Times New Roman" w:eastAsia="Times New Roman" w:hAnsi="Times New Roman" w:cs="Times New Roman"/>
                <w:szCs w:val="24"/>
                <w:lang w:val="fr-FR" w:eastAsia="fr-FR" w:bidi="ar-SA"/>
              </w:rPr>
              <w:t>13,1</w:t>
            </w:r>
          </w:p>
        </w:tc>
      </w:tr>
    </w:tbl>
    <w:p w:rsidR="00D35E59" w:rsidRDefault="00D35E59" w:rsidP="00D35E59">
      <w:pPr>
        <w:widowControl/>
        <w:suppressAutoHyphens w:val="0"/>
        <w:rPr>
          <w:rFonts w:ascii="Times New Roman" w:eastAsia="Times New Roman" w:hAnsi="Times New Roman" w:cs="Times New Roman"/>
          <w:sz w:val="22"/>
          <w:szCs w:val="22"/>
          <w:lang w:val="fr-FR" w:eastAsia="fr-FR" w:bidi="ar-SA"/>
        </w:rPr>
      </w:pPr>
    </w:p>
    <w:p w:rsidR="00D35E59" w:rsidRPr="00D35E59" w:rsidRDefault="00D35E59" w:rsidP="00D35E59">
      <w:pPr>
        <w:widowControl/>
        <w:suppressAutoHyphens w:val="0"/>
        <w:rPr>
          <w:rFonts w:ascii="Times New Roman" w:eastAsia="Times New Roman" w:hAnsi="Times New Roman" w:cs="Times New Roman"/>
          <w:sz w:val="22"/>
          <w:szCs w:val="22"/>
          <w:lang w:val="fr-FR" w:eastAsia="fr-FR" w:bidi="ar-SA"/>
        </w:rPr>
      </w:pPr>
      <w:r w:rsidRPr="00D35E59">
        <w:rPr>
          <w:rFonts w:ascii="Times New Roman" w:eastAsia="Times New Roman" w:hAnsi="Times New Roman" w:cs="Times New Roman"/>
          <w:sz w:val="22"/>
          <w:szCs w:val="22"/>
          <w:lang w:val="fr-FR" w:eastAsia="fr-FR" w:bidi="ar-SA"/>
        </w:rPr>
        <w:t xml:space="preserve">Source : Calculs Mission Climat de la Caisse des Dépôts à partir de données Point </w:t>
      </w:r>
      <w:proofErr w:type="spellStart"/>
      <w:r w:rsidRPr="00D35E59">
        <w:rPr>
          <w:rFonts w:ascii="Times New Roman" w:eastAsia="Times New Roman" w:hAnsi="Times New Roman" w:cs="Times New Roman"/>
          <w:sz w:val="22"/>
          <w:szCs w:val="22"/>
          <w:lang w:val="fr-FR" w:eastAsia="fr-FR" w:bidi="ar-SA"/>
        </w:rPr>
        <w:t>Carbon</w:t>
      </w:r>
      <w:proofErr w:type="spellEnd"/>
      <w:r w:rsidRPr="00D35E59">
        <w:rPr>
          <w:rFonts w:ascii="Times New Roman" w:eastAsia="Times New Roman" w:hAnsi="Times New Roman" w:cs="Times New Roman"/>
          <w:sz w:val="22"/>
          <w:szCs w:val="22"/>
          <w:lang w:val="fr-FR" w:eastAsia="fr-FR" w:bidi="ar-SA"/>
        </w:rPr>
        <w:t xml:space="preserve"> </w:t>
      </w:r>
    </w:p>
    <w:p w:rsidR="008A69D3" w:rsidRPr="003B5463" w:rsidRDefault="008A6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C6BFE"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2</w:t>
      </w:r>
    </w:p>
    <w:p w:rsidR="008A69D3" w:rsidRDefault="008A69D3" w:rsidP="008A69D3">
      <w:pPr>
        <w:pStyle w:val="Sansinterligne"/>
        <w:jc w:val="both"/>
        <w:rPr>
          <w:rFonts w:ascii="Times New Roman" w:hAnsi="Times New Roman" w:cs="Times New Roman"/>
          <w:lang w:val="fr-FR" w:eastAsia="fr-FR" w:bidi="ar-SA"/>
        </w:rPr>
      </w:pPr>
    </w:p>
    <w:p w:rsidR="008A69D3" w:rsidRPr="008A69D3" w:rsidRDefault="008A69D3" w:rsidP="008A69D3">
      <w:pPr>
        <w:pStyle w:val="Sansinterligne"/>
        <w:jc w:val="both"/>
        <w:rPr>
          <w:rFonts w:ascii="Times New Roman" w:hAnsi="Times New Roman" w:cs="Times New Roman"/>
          <w:lang w:val="fr-FR" w:eastAsia="fr-FR" w:bidi="ar-SA"/>
        </w:rPr>
      </w:pPr>
      <w:r w:rsidRPr="008A69D3">
        <w:rPr>
          <w:rFonts w:ascii="Times New Roman" w:hAnsi="Times New Roman" w:cs="Times New Roman"/>
          <w:lang w:val="fr-FR" w:eastAsia="fr-FR" w:bidi="ar-SA"/>
        </w:rPr>
        <w:t xml:space="preserve">Les normes d’émissions, fixées par les autorités publiques, visent à fixer un plafond pour les émissions de carbone ou d’autres </w:t>
      </w:r>
      <w:bookmarkStart w:id="0" w:name="mot23_0"/>
      <w:r w:rsidR="00424FE9" w:rsidRPr="008A69D3">
        <w:rPr>
          <w:rFonts w:ascii="Times New Roman" w:hAnsi="Times New Roman" w:cs="Times New Roman"/>
          <w:lang w:val="fr-FR" w:eastAsia="fr-FR" w:bidi="ar-SA"/>
        </w:rPr>
        <w:fldChar w:fldCharType="begin"/>
      </w:r>
      <w:r w:rsidRPr="008A69D3">
        <w:rPr>
          <w:rFonts w:ascii="Times New Roman" w:hAnsi="Times New Roman" w:cs="Times New Roman"/>
          <w:lang w:val="fr-FR" w:eastAsia="fr-FR" w:bidi="ar-SA"/>
        </w:rPr>
        <w:instrText xml:space="preserve"> HYPERLINK "http://www.cdcclimat.com/+-GHG-GHGs-+.html" </w:instrText>
      </w:r>
      <w:r w:rsidR="00424FE9" w:rsidRPr="008A69D3">
        <w:rPr>
          <w:rFonts w:ascii="Times New Roman" w:hAnsi="Times New Roman" w:cs="Times New Roman"/>
          <w:lang w:val="fr-FR" w:eastAsia="fr-FR" w:bidi="ar-SA"/>
        </w:rPr>
        <w:fldChar w:fldCharType="separate"/>
      </w:r>
      <w:r w:rsidRPr="008A69D3">
        <w:rPr>
          <w:rFonts w:ascii="Times New Roman" w:hAnsi="Times New Roman" w:cs="Times New Roman"/>
          <w:lang w:val="fr-FR" w:eastAsia="fr-FR" w:bidi="ar-SA"/>
        </w:rPr>
        <w:t>GES</w:t>
      </w:r>
      <w:r w:rsidR="00424FE9" w:rsidRPr="008A69D3">
        <w:rPr>
          <w:rFonts w:ascii="Times New Roman" w:hAnsi="Times New Roman" w:cs="Times New Roman"/>
          <w:lang w:val="fr-FR" w:eastAsia="fr-FR" w:bidi="ar-SA"/>
        </w:rPr>
        <w:fldChar w:fldCharType="end"/>
      </w:r>
      <w:bookmarkEnd w:id="0"/>
      <w:r w:rsidRPr="008A69D3">
        <w:rPr>
          <w:rFonts w:ascii="Times New Roman" w:hAnsi="Times New Roman" w:cs="Times New Roman"/>
          <w:lang w:val="fr-FR" w:eastAsia="fr-FR" w:bidi="ar-SA"/>
        </w:rPr>
        <w:t xml:space="preserve"> liées à la production d’un certain bien ou service. Assez répandues pour réguler les émissions de polluants dans l’air, elles sont bien adaptées lorsque le contrôle de leur application est aisé. C’est le cas de la norme européenne qui limite à 130 grammes </w:t>
      </w:r>
      <w:proofErr w:type="gramStart"/>
      <w:r w:rsidRPr="008A69D3">
        <w:rPr>
          <w:rFonts w:ascii="Times New Roman" w:hAnsi="Times New Roman" w:cs="Times New Roman"/>
          <w:lang w:val="fr-FR" w:eastAsia="fr-FR" w:bidi="ar-SA"/>
        </w:rPr>
        <w:t>de</w:t>
      </w:r>
      <w:proofErr w:type="gramEnd"/>
      <w:r w:rsidRPr="008A69D3">
        <w:rPr>
          <w:rFonts w:ascii="Times New Roman" w:hAnsi="Times New Roman" w:cs="Times New Roman"/>
          <w:lang w:val="fr-FR" w:eastAsia="fr-FR" w:bidi="ar-SA"/>
        </w:rPr>
        <w:t xml:space="preserve"> CO</w:t>
      </w:r>
      <w:r w:rsidRPr="008A69D3">
        <w:rPr>
          <w:rFonts w:ascii="Times New Roman" w:hAnsi="Times New Roman" w:cs="Times New Roman"/>
          <w:vertAlign w:val="subscript"/>
          <w:lang w:val="fr-FR" w:eastAsia="fr-FR" w:bidi="ar-SA"/>
        </w:rPr>
        <w:t>2</w:t>
      </w:r>
      <w:r w:rsidRPr="008A69D3">
        <w:rPr>
          <w:rFonts w:ascii="Times New Roman" w:hAnsi="Times New Roman" w:cs="Times New Roman"/>
          <w:lang w:val="fr-FR" w:eastAsia="fr-FR" w:bidi="ar-SA"/>
        </w:rPr>
        <w:t xml:space="preserve"> par kilomètre les émissions des voitures neuves à compter de 2012.</w:t>
      </w:r>
    </w:p>
    <w:p w:rsidR="008A69D3" w:rsidRPr="008A69D3" w:rsidRDefault="008A69D3" w:rsidP="008A69D3">
      <w:pPr>
        <w:pStyle w:val="Sansinterligne"/>
        <w:jc w:val="both"/>
        <w:rPr>
          <w:rFonts w:ascii="Times New Roman" w:hAnsi="Times New Roman" w:cs="Times New Roman"/>
          <w:lang w:val="fr-FR" w:eastAsia="fr-FR" w:bidi="ar-SA"/>
        </w:rPr>
      </w:pPr>
      <w:r w:rsidRPr="008A69D3">
        <w:rPr>
          <w:rFonts w:ascii="Times New Roman" w:hAnsi="Times New Roman" w:cs="Times New Roman"/>
          <w:lang w:val="fr-FR" w:eastAsia="fr-FR" w:bidi="ar-SA"/>
        </w:rPr>
        <w:t>Néanmoins une norme ne s’applique pas à des émetteurs très différents : en ne tenant pas compte des coûts de réduction des émissions qui peuvent être très variables, elle engendrerait des coûts importants qui compromettraient son efficacité économique.</w:t>
      </w:r>
    </w:p>
    <w:p w:rsidR="008A69D3" w:rsidRPr="008A69D3" w:rsidRDefault="008A69D3" w:rsidP="008A69D3">
      <w:pPr>
        <w:pStyle w:val="Sansinterligne"/>
        <w:jc w:val="both"/>
        <w:rPr>
          <w:lang w:val="fr-FR" w:eastAsia="fr-FR" w:bidi="ar-SA"/>
        </w:rPr>
      </w:pPr>
      <w:r w:rsidRPr="008A69D3">
        <w:rPr>
          <w:rFonts w:ascii="Times New Roman" w:hAnsi="Times New Roman" w:cs="Times New Roman"/>
          <w:lang w:val="fr-FR" w:eastAsia="fr-FR" w:bidi="ar-SA"/>
        </w:rPr>
        <w:t>De plus les normes n’assurent pas l’atteinte d’un volume d’émissions de gaz à effet de serre donné en étant souvent assises sur des volumes de production. Par ailleurs, il n’existe pas d’incitation à abaisser les émissions sous la norme</w:t>
      </w:r>
      <w:r w:rsidRPr="008A69D3">
        <w:rPr>
          <w:lang w:val="fr-FR" w:eastAsia="fr-FR" w:bidi="ar-SA"/>
        </w:rPr>
        <w:t>.</w:t>
      </w:r>
    </w:p>
    <w:p w:rsidR="00F75584" w:rsidRPr="003B5463" w:rsidRDefault="008A6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Le rôle des instruments économiques », Caisse des dépôts et consignations, commission Climat, </w:t>
      </w:r>
      <w:hyperlink r:id="rId6" w:history="1">
        <w:r w:rsidRPr="000D1546">
          <w:rPr>
            <w:rStyle w:val="Lienhypertexte"/>
            <w:rFonts w:ascii="Times New Roman" w:hAnsi="Times New Roman" w:cs="Times New Roman"/>
            <w:sz w:val="22"/>
            <w:szCs w:val="22"/>
            <w:lang w:val="fr-FR"/>
          </w:rPr>
          <w:t>www.cdcclimat.com</w:t>
        </w:r>
      </w:hyperlink>
      <w:r>
        <w:rPr>
          <w:rFonts w:ascii="Times New Roman" w:hAnsi="Times New Roman" w:cs="Times New Roman"/>
          <w:color w:val="000000"/>
          <w:sz w:val="22"/>
          <w:szCs w:val="22"/>
          <w:lang w:val="fr-FR"/>
        </w:rPr>
        <w:t xml:space="preserve"> </w:t>
      </w:r>
    </w:p>
    <w:sectPr w:rsidR="00F75584" w:rsidRPr="003B5463" w:rsidSect="00214E34">
      <w:footerReference w:type="default" r:id="rId7"/>
      <w:pgSz w:w="11906" w:h="16838"/>
      <w:pgMar w:top="568"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0BE" w:rsidRDefault="00E070BE" w:rsidP="003B5463">
      <w:r>
        <w:separator/>
      </w:r>
    </w:p>
  </w:endnote>
  <w:endnote w:type="continuationSeparator" w:id="1">
    <w:p w:rsidR="00E070BE" w:rsidRDefault="00E070BE" w:rsidP="003B5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63" w:rsidRPr="009C711D" w:rsidRDefault="003B5463" w:rsidP="003B5463">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3B5463" w:rsidRPr="009C711D" w:rsidRDefault="003B5463" w:rsidP="003B5463">
    <w:pPr>
      <w:pStyle w:val="Pieddepage"/>
      <w:rPr>
        <w:sz w:val="20"/>
        <w:lang w:val="fr-FR"/>
      </w:rPr>
    </w:pPr>
  </w:p>
  <w:p w:rsidR="003B5463" w:rsidRPr="003B5463" w:rsidRDefault="003B5463">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0BE" w:rsidRDefault="00E070BE" w:rsidP="003B5463">
      <w:r>
        <w:separator/>
      </w:r>
    </w:p>
  </w:footnote>
  <w:footnote w:type="continuationSeparator" w:id="1">
    <w:p w:rsidR="00E070BE" w:rsidRDefault="00E070BE" w:rsidP="003B5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51352"/>
    <w:rsid w:val="000900AC"/>
    <w:rsid w:val="001E7D4A"/>
    <w:rsid w:val="00214E34"/>
    <w:rsid w:val="003A16BA"/>
    <w:rsid w:val="003B5463"/>
    <w:rsid w:val="00415EC6"/>
    <w:rsid w:val="00424FE9"/>
    <w:rsid w:val="00544200"/>
    <w:rsid w:val="00566F8A"/>
    <w:rsid w:val="00610B20"/>
    <w:rsid w:val="008A69D3"/>
    <w:rsid w:val="00AD640E"/>
    <w:rsid w:val="00CC6BFE"/>
    <w:rsid w:val="00D35E59"/>
    <w:rsid w:val="00D954AF"/>
    <w:rsid w:val="00DA1297"/>
    <w:rsid w:val="00E070BE"/>
    <w:rsid w:val="00E167D7"/>
    <w:rsid w:val="00ED721C"/>
    <w:rsid w:val="00F15C2A"/>
    <w:rsid w:val="00F7558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E9"/>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424FE9"/>
  </w:style>
  <w:style w:type="character" w:customStyle="1" w:styleId="WW-Absatz-Standardschriftart">
    <w:name w:val="WW-Absatz-Standardschriftart"/>
    <w:rsid w:val="00424FE9"/>
  </w:style>
  <w:style w:type="character" w:customStyle="1" w:styleId="Policepardfaut1">
    <w:name w:val="Police par défaut1"/>
    <w:rsid w:val="00424FE9"/>
  </w:style>
  <w:style w:type="paragraph" w:customStyle="1" w:styleId="Titre10">
    <w:name w:val="Titre1"/>
    <w:basedOn w:val="Normal"/>
    <w:next w:val="Corpsdetexte"/>
    <w:rsid w:val="00424FE9"/>
    <w:pPr>
      <w:keepNext/>
      <w:spacing w:before="240" w:after="120"/>
    </w:pPr>
    <w:rPr>
      <w:rFonts w:ascii="Arial" w:eastAsia="Arial Unicode MS" w:hAnsi="Arial" w:cs="Arial Unicode MS"/>
      <w:sz w:val="28"/>
      <w:szCs w:val="28"/>
    </w:rPr>
  </w:style>
  <w:style w:type="paragraph" w:styleId="Corpsdetexte">
    <w:name w:val="Body Text"/>
    <w:basedOn w:val="Normal"/>
    <w:rsid w:val="00424FE9"/>
    <w:pPr>
      <w:spacing w:after="120"/>
    </w:pPr>
  </w:style>
  <w:style w:type="paragraph" w:styleId="Liste">
    <w:name w:val="List"/>
    <w:basedOn w:val="Corpsdetexte"/>
    <w:rsid w:val="00424FE9"/>
  </w:style>
  <w:style w:type="paragraph" w:customStyle="1" w:styleId="Lgende1">
    <w:name w:val="Légende1"/>
    <w:basedOn w:val="Normal"/>
    <w:rsid w:val="00424FE9"/>
    <w:pPr>
      <w:suppressLineNumbers/>
      <w:spacing w:before="120" w:after="120"/>
    </w:pPr>
    <w:rPr>
      <w:i/>
      <w:iCs/>
      <w:szCs w:val="24"/>
    </w:rPr>
  </w:style>
  <w:style w:type="paragraph" w:customStyle="1" w:styleId="Index">
    <w:name w:val="Index"/>
    <w:basedOn w:val="Normal"/>
    <w:rsid w:val="00424FE9"/>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3B5463"/>
    <w:pPr>
      <w:tabs>
        <w:tab w:val="center" w:pos="4536"/>
        <w:tab w:val="right" w:pos="9072"/>
      </w:tabs>
    </w:pPr>
    <w:rPr>
      <w:rFonts w:cs="Mangal"/>
    </w:rPr>
  </w:style>
  <w:style w:type="character" w:customStyle="1" w:styleId="En-tteCar">
    <w:name w:val="En-tête Car"/>
    <w:basedOn w:val="Policepardfaut"/>
    <w:link w:val="En-tte"/>
    <w:uiPriority w:val="99"/>
    <w:semiHidden/>
    <w:rsid w:val="003B5463"/>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3B5463"/>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3B5463"/>
    <w:rPr>
      <w:rFonts w:ascii="Helvetica" w:eastAsia="Helvetica" w:hAnsi="Helvetica" w:cs="Mangal"/>
      <w:sz w:val="24"/>
      <w:lang w:val="en-US" w:eastAsia="hi-IN" w:bidi="hi-IN"/>
    </w:rPr>
  </w:style>
  <w:style w:type="paragraph" w:styleId="NormalWeb">
    <w:name w:val="Normal (Web)"/>
    <w:basedOn w:val="Normal"/>
    <w:uiPriority w:val="99"/>
    <w:rsid w:val="00DA1297"/>
    <w:pPr>
      <w:widowControl/>
      <w:spacing w:before="280" w:after="280"/>
    </w:pPr>
    <w:rPr>
      <w:rFonts w:ascii="Times New Roman" w:eastAsia="Times New Roman" w:hAnsi="Times New Roman" w:cs="Times New Roman"/>
      <w:szCs w:val="24"/>
      <w:lang w:val="fr-FR" w:eastAsia="zh-CN" w:bidi="ar-SA"/>
    </w:rPr>
  </w:style>
  <w:style w:type="character" w:styleId="lev">
    <w:name w:val="Strong"/>
    <w:basedOn w:val="Policepardfaut"/>
    <w:uiPriority w:val="22"/>
    <w:qFormat/>
    <w:rsid w:val="008A69D3"/>
    <w:rPr>
      <w:b/>
      <w:bCs/>
    </w:rPr>
  </w:style>
  <w:style w:type="character" w:customStyle="1" w:styleId="glmot">
    <w:name w:val="gl_mot"/>
    <w:basedOn w:val="Policepardfaut"/>
    <w:rsid w:val="008A69D3"/>
  </w:style>
  <w:style w:type="paragraph" w:styleId="Sansinterligne">
    <w:name w:val="No Spacing"/>
    <w:uiPriority w:val="1"/>
    <w:qFormat/>
    <w:rsid w:val="008A69D3"/>
    <w:pPr>
      <w:widowControl w:val="0"/>
      <w:suppressAutoHyphens/>
    </w:pPr>
    <w:rPr>
      <w:rFonts w:ascii="Helvetica" w:eastAsia="Helvetica" w:hAnsi="Helvetica" w:cs="Mangal"/>
      <w:sz w:val="24"/>
      <w:lang w:val="en-US" w:eastAsia="hi-IN" w:bidi="hi-IN"/>
    </w:rPr>
  </w:style>
  <w:style w:type="character" w:styleId="Lienhypertexte">
    <w:name w:val="Hyperlink"/>
    <w:basedOn w:val="Policepardfaut"/>
    <w:uiPriority w:val="99"/>
    <w:unhideWhenUsed/>
    <w:rsid w:val="008A69D3"/>
    <w:rPr>
      <w:color w:val="0000FF"/>
      <w:u w:val="single"/>
    </w:rPr>
  </w:style>
</w:styles>
</file>

<file path=word/webSettings.xml><?xml version="1.0" encoding="utf-8"?>
<w:webSettings xmlns:r="http://schemas.openxmlformats.org/officeDocument/2006/relationships" xmlns:w="http://schemas.openxmlformats.org/wordprocessingml/2006/main">
  <w:divs>
    <w:div w:id="780302388">
      <w:bodyDiv w:val="1"/>
      <w:marLeft w:val="0"/>
      <w:marRight w:val="0"/>
      <w:marTop w:val="0"/>
      <w:marBottom w:val="0"/>
      <w:divBdr>
        <w:top w:val="none" w:sz="0" w:space="0" w:color="auto"/>
        <w:left w:val="none" w:sz="0" w:space="0" w:color="auto"/>
        <w:bottom w:val="none" w:sz="0" w:space="0" w:color="auto"/>
        <w:right w:val="none" w:sz="0" w:space="0" w:color="auto"/>
      </w:divBdr>
      <w:divsChild>
        <w:div w:id="205878830">
          <w:marLeft w:val="0"/>
          <w:marRight w:val="0"/>
          <w:marTop w:val="0"/>
          <w:marBottom w:val="0"/>
          <w:divBdr>
            <w:top w:val="none" w:sz="0" w:space="0" w:color="auto"/>
            <w:left w:val="none" w:sz="0" w:space="0" w:color="auto"/>
            <w:bottom w:val="none" w:sz="0" w:space="0" w:color="auto"/>
            <w:right w:val="none" w:sz="0" w:space="0" w:color="auto"/>
          </w:divBdr>
        </w:div>
        <w:div w:id="397747711">
          <w:marLeft w:val="0"/>
          <w:marRight w:val="0"/>
          <w:marTop w:val="0"/>
          <w:marBottom w:val="0"/>
          <w:divBdr>
            <w:top w:val="none" w:sz="0" w:space="0" w:color="auto"/>
            <w:left w:val="none" w:sz="0" w:space="0" w:color="auto"/>
            <w:bottom w:val="none" w:sz="0" w:space="0" w:color="auto"/>
            <w:right w:val="none" w:sz="0" w:space="0" w:color="auto"/>
          </w:divBdr>
        </w:div>
        <w:div w:id="497042973">
          <w:marLeft w:val="0"/>
          <w:marRight w:val="0"/>
          <w:marTop w:val="0"/>
          <w:marBottom w:val="0"/>
          <w:divBdr>
            <w:top w:val="none" w:sz="0" w:space="0" w:color="auto"/>
            <w:left w:val="none" w:sz="0" w:space="0" w:color="auto"/>
            <w:bottom w:val="none" w:sz="0" w:space="0" w:color="auto"/>
            <w:right w:val="none" w:sz="0" w:space="0" w:color="auto"/>
          </w:divBdr>
        </w:div>
        <w:div w:id="1270501832">
          <w:marLeft w:val="0"/>
          <w:marRight w:val="0"/>
          <w:marTop w:val="0"/>
          <w:marBottom w:val="0"/>
          <w:divBdr>
            <w:top w:val="none" w:sz="0" w:space="0" w:color="auto"/>
            <w:left w:val="none" w:sz="0" w:space="0" w:color="auto"/>
            <w:bottom w:val="none" w:sz="0" w:space="0" w:color="auto"/>
            <w:right w:val="none" w:sz="0" w:space="0" w:color="auto"/>
          </w:divBdr>
        </w:div>
        <w:div w:id="1917469321">
          <w:marLeft w:val="0"/>
          <w:marRight w:val="0"/>
          <w:marTop w:val="0"/>
          <w:marBottom w:val="0"/>
          <w:divBdr>
            <w:top w:val="none" w:sz="0" w:space="0" w:color="auto"/>
            <w:left w:val="none" w:sz="0" w:space="0" w:color="auto"/>
            <w:bottom w:val="none" w:sz="0" w:space="0" w:color="auto"/>
            <w:right w:val="none" w:sz="0" w:space="0" w:color="auto"/>
          </w:divBdr>
        </w:div>
        <w:div w:id="1966034594">
          <w:marLeft w:val="0"/>
          <w:marRight w:val="0"/>
          <w:marTop w:val="0"/>
          <w:marBottom w:val="0"/>
          <w:divBdr>
            <w:top w:val="none" w:sz="0" w:space="0" w:color="auto"/>
            <w:left w:val="none" w:sz="0" w:space="0" w:color="auto"/>
            <w:bottom w:val="none" w:sz="0" w:space="0" w:color="auto"/>
            <w:right w:val="none" w:sz="0" w:space="0" w:color="auto"/>
          </w:divBdr>
        </w:div>
      </w:divsChild>
    </w:div>
    <w:div w:id="820123501">
      <w:bodyDiv w:val="1"/>
      <w:marLeft w:val="0"/>
      <w:marRight w:val="0"/>
      <w:marTop w:val="0"/>
      <w:marBottom w:val="0"/>
      <w:divBdr>
        <w:top w:val="none" w:sz="0" w:space="0" w:color="auto"/>
        <w:left w:val="none" w:sz="0" w:space="0" w:color="auto"/>
        <w:bottom w:val="none" w:sz="0" w:space="0" w:color="auto"/>
        <w:right w:val="none" w:sz="0" w:space="0" w:color="auto"/>
      </w:divBdr>
      <w:divsChild>
        <w:div w:id="378280626">
          <w:marLeft w:val="0"/>
          <w:marRight w:val="0"/>
          <w:marTop w:val="0"/>
          <w:marBottom w:val="0"/>
          <w:divBdr>
            <w:top w:val="none" w:sz="0" w:space="0" w:color="auto"/>
            <w:left w:val="none" w:sz="0" w:space="0" w:color="auto"/>
            <w:bottom w:val="none" w:sz="0" w:space="0" w:color="auto"/>
            <w:right w:val="none" w:sz="0" w:space="0" w:color="auto"/>
          </w:divBdr>
        </w:div>
        <w:div w:id="862328280">
          <w:marLeft w:val="0"/>
          <w:marRight w:val="0"/>
          <w:marTop w:val="0"/>
          <w:marBottom w:val="0"/>
          <w:divBdr>
            <w:top w:val="none" w:sz="0" w:space="0" w:color="auto"/>
            <w:left w:val="none" w:sz="0" w:space="0" w:color="auto"/>
            <w:bottom w:val="none" w:sz="0" w:space="0" w:color="auto"/>
            <w:right w:val="none" w:sz="0" w:space="0" w:color="auto"/>
          </w:divBdr>
        </w:div>
      </w:divsChild>
    </w:div>
    <w:div w:id="1032995833">
      <w:bodyDiv w:val="1"/>
      <w:marLeft w:val="0"/>
      <w:marRight w:val="0"/>
      <w:marTop w:val="0"/>
      <w:marBottom w:val="0"/>
      <w:divBdr>
        <w:top w:val="none" w:sz="0" w:space="0" w:color="auto"/>
        <w:left w:val="none" w:sz="0" w:space="0" w:color="auto"/>
        <w:bottom w:val="none" w:sz="0" w:space="0" w:color="auto"/>
        <w:right w:val="none" w:sz="0" w:space="0" w:color="auto"/>
      </w:divBdr>
      <w:divsChild>
        <w:div w:id="90610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clima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2267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2674</CharactersWithSpaces>
  <SharedDoc>false</SharedDoc>
  <HLinks>
    <vt:vector size="12" baseType="variant">
      <vt:variant>
        <vt:i4>5242910</vt:i4>
      </vt:variant>
      <vt:variant>
        <vt:i4>3</vt:i4>
      </vt:variant>
      <vt:variant>
        <vt:i4>0</vt:i4>
      </vt:variant>
      <vt:variant>
        <vt:i4>5</vt:i4>
      </vt:variant>
      <vt:variant>
        <vt:lpwstr>http://www.cdcclimat.com/</vt:lpwstr>
      </vt:variant>
      <vt:variant>
        <vt:lpwstr/>
      </vt:variant>
      <vt:variant>
        <vt:i4>6291564</vt:i4>
      </vt:variant>
      <vt:variant>
        <vt:i4>0</vt:i4>
      </vt:variant>
      <vt:variant>
        <vt:i4>0</vt:i4>
      </vt:variant>
      <vt:variant>
        <vt:i4>5</vt:i4>
      </vt:variant>
      <vt:variant>
        <vt:lpwstr>http://www.cdcclimat.com/+-GHG-GHGs-+.html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3</cp:revision>
  <cp:lastPrinted>1601-01-01T00:00:00Z</cp:lastPrinted>
  <dcterms:created xsi:type="dcterms:W3CDTF">2014-03-12T17:02:00Z</dcterms:created>
  <dcterms:modified xsi:type="dcterms:W3CDTF">2014-03-29T07:14:00Z</dcterms:modified>
</cp:coreProperties>
</file>