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w:t>
            </w:r>
            <w:r w:rsidR="007E5B5D">
              <w:rPr>
                <w:rFonts w:ascii="Times New Roman" w:hAnsi="Times New Roman" w:cs="Times New Roman"/>
                <w:b/>
                <w:sz w:val="22"/>
                <w:szCs w:val="22"/>
                <w:lang w:val="fr-FR"/>
              </w:rPr>
              <w:t>S Baccalauréat ES - Session 2014</w:t>
            </w:r>
          </w:p>
        </w:tc>
        <w:tc>
          <w:tcPr>
            <w:tcW w:w="4678" w:type="dxa"/>
          </w:tcPr>
          <w:p w:rsidR="00E167D7" w:rsidRPr="000A4F72" w:rsidRDefault="00A74B03"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BC52AB" w:rsidRPr="000A4F72">
              <w:rPr>
                <w:rFonts w:ascii="Times New Roman" w:hAnsi="Times New Roman" w:cs="Times New Roman"/>
                <w:b/>
                <w:sz w:val="22"/>
                <w:szCs w:val="22"/>
                <w:lang w:val="fr-FR"/>
              </w:rPr>
              <w:t>ECONOMIE APPROFONDIE</w:t>
            </w:r>
            <w:r w:rsidR="00AD640E" w:rsidRPr="000A4F72">
              <w:rPr>
                <w:rFonts w:ascii="Times New Roman" w:hAnsi="Times New Roman" w:cs="Times New Roman"/>
                <w:b/>
                <w:sz w:val="22"/>
                <w:szCs w:val="22"/>
                <w:lang w:val="fr-FR"/>
              </w:rPr>
              <w:t> »</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7E5B5D">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A74B03" w:rsidRPr="000A4F72">
              <w:rPr>
                <w:rFonts w:ascii="Times New Roman" w:hAnsi="Times New Roman" w:cs="Times New Roman"/>
                <w:b/>
                <w:sz w:val="22"/>
                <w:szCs w:val="22"/>
              </w:rPr>
              <w:t>c9</w:t>
            </w:r>
            <w:r w:rsidR="00E167D7" w:rsidRPr="000A4F72">
              <w:rPr>
                <w:rFonts w:ascii="Times New Roman" w:hAnsi="Times New Roman" w:cs="Times New Roman"/>
                <w:b/>
                <w:sz w:val="22"/>
                <w:szCs w:val="22"/>
              </w:rPr>
              <w:t>-</w:t>
            </w:r>
            <w:r w:rsidR="00965C58">
              <w:rPr>
                <w:rFonts w:ascii="Times New Roman" w:hAnsi="Times New Roman" w:cs="Times New Roman"/>
                <w:b/>
                <w:sz w:val="22"/>
                <w:szCs w:val="22"/>
              </w:rPr>
              <w:t>1-11-1</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proofErr w:type="spellStart"/>
            <w:r w:rsidRPr="000A4F72">
              <w:rPr>
                <w:rFonts w:ascii="Times New Roman" w:hAnsi="Times New Roman" w:cs="Times New Roman"/>
                <w:sz w:val="22"/>
                <w:szCs w:val="22"/>
              </w:rPr>
              <w:t>Durée</w:t>
            </w:r>
            <w:proofErr w:type="spellEnd"/>
            <w:r w:rsidRPr="000A4F72">
              <w:rPr>
                <w:rFonts w:ascii="Times New Roman" w:hAnsi="Times New Roman" w:cs="Times New Roman"/>
                <w:sz w:val="22"/>
                <w:szCs w:val="22"/>
              </w:rPr>
              <w:t xml:space="preserve"> de </w:t>
            </w:r>
            <w:proofErr w:type="spellStart"/>
            <w:r w:rsidRPr="000A4F72">
              <w:rPr>
                <w:rFonts w:ascii="Times New Roman" w:hAnsi="Times New Roman" w:cs="Times New Roman"/>
                <w:sz w:val="22"/>
                <w:szCs w:val="22"/>
              </w:rPr>
              <w:t>l'interrogation</w:t>
            </w:r>
            <w:proofErr w:type="spellEnd"/>
            <w:r w:rsidRPr="000A4F72">
              <w:rPr>
                <w:rFonts w:ascii="Times New Roman" w:hAnsi="Times New Roman" w:cs="Times New Roman"/>
                <w:sz w:val="22"/>
                <w:szCs w:val="22"/>
              </w:rPr>
              <w:t xml:space="preserve"> : 20 minutes</w:t>
            </w:r>
          </w:p>
        </w:tc>
      </w:tr>
      <w:tr w:rsidR="00CF48C9" w:rsidRPr="000D03E8" w:rsidTr="007551E0">
        <w:tc>
          <w:tcPr>
            <w:tcW w:w="9778" w:type="dxa"/>
            <w:gridSpan w:val="3"/>
          </w:tcPr>
          <w:p w:rsidR="00CF48C9" w:rsidRPr="003B5463" w:rsidRDefault="00CF48C9" w:rsidP="00560051">
            <w:pPr>
              <w:rPr>
                <w:rFonts w:ascii="Times New Roman" w:hAnsi="Times New Roman" w:cs="Times New Roman"/>
                <w:b/>
                <w:sz w:val="22"/>
                <w:szCs w:val="22"/>
                <w:lang w:val="fr-FR"/>
              </w:rPr>
            </w:pPr>
            <w:r w:rsidRPr="003B5463">
              <w:rPr>
                <w:rFonts w:ascii="Times New Roman" w:hAnsi="Times New Roman" w:cs="Times New Roman"/>
                <w:b/>
                <w:sz w:val="22"/>
                <w:szCs w:val="22"/>
                <w:lang w:val="fr-FR"/>
              </w:rPr>
              <w:t>Thème de la question principale :</w:t>
            </w:r>
            <w:r>
              <w:rPr>
                <w:rFonts w:ascii="Times New Roman" w:hAnsi="Times New Roman" w:cs="Times New Roman"/>
                <w:b/>
                <w:sz w:val="22"/>
                <w:szCs w:val="22"/>
                <w:lang w:val="fr-FR"/>
              </w:rPr>
              <w:t xml:space="preserve"> Quelles sont les sources de la croissance économique ?</w:t>
            </w:r>
          </w:p>
        </w:tc>
      </w:tr>
      <w:tr w:rsidR="00CF48C9" w:rsidRPr="000D03E8" w:rsidTr="007551E0">
        <w:tc>
          <w:tcPr>
            <w:tcW w:w="9778" w:type="dxa"/>
            <w:gridSpan w:val="3"/>
          </w:tcPr>
          <w:p w:rsidR="00CF48C9" w:rsidRPr="003B5463" w:rsidRDefault="00CF48C9" w:rsidP="00560051">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 principale (sur 10 points) :</w:t>
            </w:r>
          </w:p>
          <w:p w:rsidR="00CF48C9" w:rsidRPr="003B5463" w:rsidRDefault="00CF48C9" w:rsidP="00560051">
            <w:pPr>
              <w:rPr>
                <w:rFonts w:ascii="Times New Roman" w:hAnsi="Times New Roman" w:cs="Times New Roman"/>
                <w:b/>
                <w:sz w:val="22"/>
                <w:szCs w:val="22"/>
                <w:lang w:val="fr-FR"/>
              </w:rPr>
            </w:pPr>
            <w:r>
              <w:rPr>
                <w:rFonts w:ascii="Times New Roman" w:hAnsi="Times New Roman" w:cs="Times New Roman"/>
                <w:b/>
                <w:sz w:val="22"/>
                <w:szCs w:val="22"/>
                <w:lang w:val="fr-FR"/>
              </w:rPr>
              <w:t>Vous montrerez comment les institutions publiques favorisent l’innovation et la croissance</w:t>
            </w:r>
            <w:r w:rsidR="000D03E8">
              <w:rPr>
                <w:rFonts w:ascii="Times New Roman" w:hAnsi="Times New Roman" w:cs="Times New Roman"/>
                <w:b/>
                <w:sz w:val="22"/>
                <w:szCs w:val="22"/>
                <w:lang w:val="fr-FR"/>
              </w:rPr>
              <w:t>.</w:t>
            </w:r>
          </w:p>
        </w:tc>
      </w:tr>
      <w:tr w:rsidR="00CF48C9" w:rsidRPr="000A4F72" w:rsidTr="007551E0">
        <w:tc>
          <w:tcPr>
            <w:tcW w:w="9778" w:type="dxa"/>
            <w:gridSpan w:val="3"/>
          </w:tcPr>
          <w:p w:rsidR="00CF48C9" w:rsidRPr="003B5463" w:rsidRDefault="00CF48C9" w:rsidP="00560051">
            <w:pPr>
              <w:rPr>
                <w:rFonts w:ascii="Times New Roman" w:hAnsi="Times New Roman" w:cs="Times New Roman"/>
                <w:b/>
                <w:sz w:val="22"/>
                <w:szCs w:val="22"/>
                <w:lang w:val="fr-FR"/>
              </w:rPr>
            </w:pPr>
            <w:r w:rsidRPr="003B5463">
              <w:rPr>
                <w:rFonts w:ascii="Times New Roman" w:hAnsi="Times New Roman" w:cs="Times New Roman"/>
                <w:b/>
                <w:sz w:val="22"/>
                <w:szCs w:val="22"/>
                <w:lang w:val="fr-FR"/>
              </w:rPr>
              <w:t>Questions complémentaires (sur 10 points) :</w:t>
            </w:r>
          </w:p>
        </w:tc>
      </w:tr>
      <w:tr w:rsidR="00CF48C9" w:rsidRPr="000A4F72" w:rsidTr="007551E0">
        <w:tc>
          <w:tcPr>
            <w:tcW w:w="9778" w:type="dxa"/>
            <w:gridSpan w:val="3"/>
          </w:tcPr>
          <w:p w:rsidR="00CF48C9" w:rsidRPr="003B5463" w:rsidRDefault="00CF48C9" w:rsidP="00560051">
            <w:pPr>
              <w:rPr>
                <w:rFonts w:ascii="Times New Roman" w:hAnsi="Times New Roman" w:cs="Times New Roman"/>
                <w:sz w:val="22"/>
                <w:szCs w:val="22"/>
                <w:lang w:val="fr-FR"/>
              </w:rPr>
            </w:pPr>
            <w:r w:rsidRPr="003B5463">
              <w:rPr>
                <w:rFonts w:ascii="Times New Roman" w:hAnsi="Times New Roman" w:cs="Times New Roman"/>
                <w:sz w:val="22"/>
                <w:szCs w:val="22"/>
                <w:lang w:val="fr-FR"/>
              </w:rPr>
              <w:t xml:space="preserve">1) </w:t>
            </w:r>
            <w:r>
              <w:rPr>
                <w:rFonts w:ascii="Times New Roman" w:hAnsi="Times New Roman" w:cs="Times New Roman"/>
                <w:sz w:val="22"/>
                <w:szCs w:val="22"/>
                <w:lang w:val="fr-FR"/>
              </w:rPr>
              <w:t>Donnez la signification des deux valeurs soulig</w:t>
            </w:r>
            <w:r w:rsidR="00965C58">
              <w:rPr>
                <w:rFonts w:ascii="Times New Roman" w:hAnsi="Times New Roman" w:cs="Times New Roman"/>
                <w:sz w:val="22"/>
                <w:szCs w:val="22"/>
                <w:lang w:val="fr-FR"/>
              </w:rPr>
              <w:t>nées dans le document 1. (4 p</w:t>
            </w:r>
            <w:r>
              <w:rPr>
                <w:rFonts w:ascii="Times New Roman" w:hAnsi="Times New Roman" w:cs="Times New Roman"/>
                <w:sz w:val="22"/>
                <w:szCs w:val="22"/>
                <w:lang w:val="fr-FR"/>
              </w:rPr>
              <w:t>ts)</w:t>
            </w:r>
          </w:p>
        </w:tc>
      </w:tr>
      <w:tr w:rsidR="00CF48C9" w:rsidRPr="000A4F72" w:rsidTr="007551E0">
        <w:tc>
          <w:tcPr>
            <w:tcW w:w="9778" w:type="dxa"/>
            <w:gridSpan w:val="3"/>
          </w:tcPr>
          <w:p w:rsidR="00CF48C9" w:rsidRPr="003B5463" w:rsidRDefault="00CF48C9" w:rsidP="00CF48C9">
            <w:pPr>
              <w:rPr>
                <w:rFonts w:ascii="Times New Roman" w:hAnsi="Times New Roman" w:cs="Times New Roman"/>
                <w:sz w:val="22"/>
                <w:szCs w:val="22"/>
                <w:lang w:val="fr-FR"/>
              </w:rPr>
            </w:pPr>
            <w:r w:rsidRPr="003B5463">
              <w:rPr>
                <w:rFonts w:ascii="Times New Roman" w:hAnsi="Times New Roman" w:cs="Times New Roman"/>
                <w:sz w:val="22"/>
                <w:szCs w:val="22"/>
                <w:lang w:val="fr-FR"/>
              </w:rPr>
              <w:t xml:space="preserve">2) </w:t>
            </w:r>
            <w:r>
              <w:rPr>
                <w:rFonts w:ascii="Times New Roman" w:hAnsi="Times New Roman" w:cs="Times New Roman"/>
                <w:sz w:val="22"/>
                <w:szCs w:val="22"/>
                <w:lang w:val="fr-FR"/>
              </w:rPr>
              <w:t>Pourquoi et comment réformer  le régime de retraite par répartition ?  (3</w:t>
            </w:r>
            <w:r w:rsidR="00690F1A">
              <w:rPr>
                <w:rFonts w:ascii="Times New Roman" w:hAnsi="Times New Roman" w:cs="Times New Roman"/>
                <w:sz w:val="22"/>
                <w:szCs w:val="22"/>
                <w:lang w:val="fr-FR"/>
              </w:rPr>
              <w:t xml:space="preserve"> </w:t>
            </w:r>
            <w:r w:rsidR="00965C58">
              <w:rPr>
                <w:rFonts w:ascii="Times New Roman" w:hAnsi="Times New Roman" w:cs="Times New Roman"/>
                <w:sz w:val="22"/>
                <w:szCs w:val="22"/>
                <w:lang w:val="fr-FR"/>
              </w:rPr>
              <w:t>p</w:t>
            </w:r>
            <w:r>
              <w:rPr>
                <w:rFonts w:ascii="Times New Roman" w:hAnsi="Times New Roman" w:cs="Times New Roman"/>
                <w:sz w:val="22"/>
                <w:szCs w:val="22"/>
                <w:lang w:val="fr-FR"/>
              </w:rPr>
              <w:t>ts)</w:t>
            </w:r>
          </w:p>
        </w:tc>
      </w:tr>
      <w:tr w:rsidR="00CF48C9" w:rsidRPr="000A4F72" w:rsidTr="007551E0">
        <w:tc>
          <w:tcPr>
            <w:tcW w:w="9778" w:type="dxa"/>
            <w:gridSpan w:val="3"/>
          </w:tcPr>
          <w:p w:rsidR="00CF48C9" w:rsidRPr="003B5463" w:rsidRDefault="00CF48C9" w:rsidP="00CF48C9">
            <w:pPr>
              <w:rPr>
                <w:rFonts w:ascii="Times New Roman" w:hAnsi="Times New Roman" w:cs="Times New Roman"/>
                <w:sz w:val="22"/>
                <w:szCs w:val="22"/>
                <w:lang w:val="fr-FR"/>
              </w:rPr>
            </w:pPr>
            <w:r w:rsidRPr="003B5463">
              <w:rPr>
                <w:rFonts w:ascii="Times New Roman" w:hAnsi="Times New Roman" w:cs="Times New Roman"/>
                <w:sz w:val="22"/>
                <w:szCs w:val="22"/>
                <w:lang w:val="fr-FR"/>
              </w:rPr>
              <w:t>3)</w:t>
            </w:r>
            <w:r>
              <w:rPr>
                <w:rFonts w:ascii="Times New Roman" w:hAnsi="Times New Roman" w:cs="Times New Roman"/>
                <w:sz w:val="22"/>
                <w:szCs w:val="22"/>
                <w:lang w:val="fr-FR"/>
              </w:rPr>
              <w:t xml:space="preserve"> Expliquez ce qu’est un marché pertinent et en quoi il joue un rôle dans la politique de concurrence? (</w:t>
            </w:r>
            <w:r w:rsidR="00690F1A">
              <w:rPr>
                <w:rFonts w:ascii="Times New Roman" w:hAnsi="Times New Roman" w:cs="Times New Roman"/>
                <w:sz w:val="22"/>
                <w:szCs w:val="22"/>
                <w:lang w:val="fr-FR"/>
              </w:rPr>
              <w:t>3p</w:t>
            </w:r>
            <w:r>
              <w:rPr>
                <w:rFonts w:ascii="Times New Roman" w:hAnsi="Times New Roman" w:cs="Times New Roman"/>
                <w:sz w:val="22"/>
                <w:szCs w:val="22"/>
                <w:lang w:val="fr-FR"/>
              </w:rPr>
              <w:t>ts)</w:t>
            </w:r>
          </w:p>
        </w:tc>
      </w:tr>
    </w:tbl>
    <w:p w:rsidR="007551E0" w:rsidRPr="000A4F72" w:rsidRDefault="007551E0">
      <w:pPr>
        <w:rPr>
          <w:rFonts w:ascii="Times New Roman" w:hAnsi="Times New Roman" w:cs="Times New Roman"/>
          <w:sz w:val="22"/>
          <w:szCs w:val="22"/>
          <w:lang w:val="fr-FR"/>
        </w:rPr>
      </w:pPr>
    </w:p>
    <w:p w:rsidR="00CF48C9" w:rsidRDefault="00A74B03" w:rsidP="00CF48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1</w:t>
      </w:r>
    </w:p>
    <w:tbl>
      <w:tblPr>
        <w:tblW w:w="0" w:type="auto"/>
        <w:tblCellSpacing w:w="15" w:type="dxa"/>
        <w:tblCellMar>
          <w:top w:w="15" w:type="dxa"/>
          <w:left w:w="15" w:type="dxa"/>
          <w:bottom w:w="15" w:type="dxa"/>
          <w:right w:w="15" w:type="dxa"/>
        </w:tblCellMar>
        <w:tblLook w:val="04A0"/>
      </w:tblPr>
      <w:tblGrid>
        <w:gridCol w:w="5446"/>
        <w:gridCol w:w="668"/>
        <w:gridCol w:w="668"/>
        <w:gridCol w:w="668"/>
        <w:gridCol w:w="668"/>
        <w:gridCol w:w="668"/>
        <w:gridCol w:w="683"/>
      </w:tblGrid>
      <w:tr w:rsidR="00CF48C9" w:rsidRPr="000D03E8" w:rsidTr="00CF48C9">
        <w:trPr>
          <w:trHeight w:val="20"/>
          <w:tblHeader/>
          <w:tblCellSpacing w:w="15" w:type="dxa"/>
        </w:trPr>
        <w:tc>
          <w:tcPr>
            <w:tcW w:w="0" w:type="auto"/>
            <w:gridSpan w:val="7"/>
            <w:tcBorders>
              <w:top w:val="nil"/>
              <w:left w:val="nil"/>
              <w:bottom w:val="nil"/>
              <w:right w:val="nil"/>
            </w:tcBorders>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Pr>
                <w:rFonts w:ascii="Calibri" w:eastAsia="Calibri" w:hAnsi="Calibri" w:cs="Times New Roman"/>
                <w:sz w:val="22"/>
                <w:szCs w:val="22"/>
                <w:lang w:val="fr-FR" w:eastAsia="en-US" w:bidi="ar-SA"/>
              </w:rPr>
              <w:t>E</w:t>
            </w:r>
            <w:r w:rsidRPr="00A6571B">
              <w:rPr>
                <w:rFonts w:ascii="Calibri" w:eastAsia="Calibri" w:hAnsi="Calibri" w:cs="Times New Roman"/>
                <w:sz w:val="22"/>
                <w:szCs w:val="22"/>
                <w:lang w:val="fr-FR" w:eastAsia="en-US" w:bidi="ar-SA"/>
              </w:rPr>
              <w:t>xécution de la D</w:t>
            </w:r>
            <w:r>
              <w:rPr>
                <w:rFonts w:ascii="Calibri" w:eastAsia="Calibri" w:hAnsi="Calibri" w:cs="Times New Roman"/>
                <w:sz w:val="22"/>
                <w:szCs w:val="22"/>
                <w:lang w:val="fr-FR" w:eastAsia="en-US" w:bidi="ar-SA"/>
              </w:rPr>
              <w:t>épense intérieure de recherche et développement  (DIRD)</w:t>
            </w:r>
          </w:p>
        </w:tc>
      </w:tr>
      <w:tr w:rsidR="00CF48C9" w:rsidRPr="00A6571B" w:rsidTr="00CF48C9">
        <w:trPr>
          <w:trHeight w:val="20"/>
          <w:tblHeader/>
          <w:tblCellSpacing w:w="15" w:type="dxa"/>
        </w:trPr>
        <w:tc>
          <w:tcPr>
            <w:tcW w:w="0" w:type="auto"/>
            <w:gridSpan w:val="7"/>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en millions d'euros</w:t>
            </w:r>
          </w:p>
        </w:tc>
      </w:tr>
      <w:tr w:rsidR="00CF48C9" w:rsidRPr="00A6571B" w:rsidTr="00CF48C9">
        <w:trPr>
          <w:trHeight w:val="20"/>
          <w:tblHeader/>
          <w:tblCellSpacing w:w="15" w:type="dxa"/>
        </w:trPr>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1995</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2000</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2005</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 xml:space="preserve">2007 </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 xml:space="preserve">2008 </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2009</w:t>
            </w:r>
          </w:p>
        </w:tc>
      </w:tr>
      <w:tr w:rsidR="00CF48C9" w:rsidRPr="00A6571B" w:rsidTr="00CF48C9">
        <w:trPr>
          <w:trHeight w:val="20"/>
          <w:tblCellSpacing w:w="15" w:type="dxa"/>
        </w:trPr>
        <w:tc>
          <w:tcPr>
            <w:tcW w:w="0" w:type="auto"/>
            <w:gridSpan w:val="7"/>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p>
        </w:tc>
      </w:tr>
      <w:tr w:rsidR="00CF48C9" w:rsidRPr="00A6571B" w:rsidTr="00CF48C9">
        <w:trPr>
          <w:trHeight w:val="20"/>
          <w:tblCellSpacing w:w="15" w:type="dxa"/>
        </w:trPr>
        <w:tc>
          <w:tcPr>
            <w:tcW w:w="0" w:type="auto"/>
            <w:gridSpan w:val="7"/>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p>
        </w:tc>
      </w:tr>
      <w:tr w:rsidR="00CF48C9" w:rsidRPr="00A6571B" w:rsidTr="00CF48C9">
        <w:trPr>
          <w:trHeight w:val="20"/>
          <w:tblCellSpacing w:w="15" w:type="dxa"/>
        </w:trPr>
        <w:tc>
          <w:tcPr>
            <w:tcW w:w="0" w:type="auto"/>
            <w:gridSpan w:val="7"/>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p>
        </w:tc>
      </w:tr>
      <w:tr w:rsidR="00CF48C9" w:rsidRPr="00A6571B" w:rsidTr="00CF48C9">
        <w:trPr>
          <w:trHeight w:val="20"/>
          <w:tblCellSpacing w:w="15" w:type="dxa"/>
        </w:trPr>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Dépense intérieure de recherche et développement (DIRD)</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27 302</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30 954</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36 228</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39 303</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41 053</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42 080</w:t>
            </w:r>
          </w:p>
        </w:tc>
      </w:tr>
      <w:tr w:rsidR="00CF48C9" w:rsidRPr="00A6571B" w:rsidTr="00CF48C9">
        <w:trPr>
          <w:trHeight w:val="20"/>
          <w:tblCellSpacing w:w="15" w:type="dxa"/>
        </w:trPr>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Exécution par les administrations</w:t>
            </w:r>
            <w:r w:rsidRPr="00A6571B">
              <w:rPr>
                <w:rFonts w:ascii="Calibri" w:eastAsia="Calibri" w:hAnsi="Calibri" w:cs="Times New Roman"/>
                <w:b/>
                <w:bCs/>
                <w:sz w:val="22"/>
                <w:szCs w:val="22"/>
                <w:vertAlign w:val="superscript"/>
                <w:lang w:val="fr-FR" w:eastAsia="en-US" w:bidi="ar-SA"/>
              </w:rPr>
              <w:t>2</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10 653</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11 605</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13 725</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14 550</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15 285</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sz w:val="22"/>
                <w:szCs w:val="22"/>
                <w:u w:val="single"/>
                <w:lang w:val="fr-FR" w:eastAsia="en-US" w:bidi="ar-SA"/>
              </w:rPr>
            </w:pPr>
            <w:r w:rsidRPr="00A6571B">
              <w:rPr>
                <w:rFonts w:ascii="Calibri" w:eastAsia="Calibri" w:hAnsi="Calibri" w:cs="Times New Roman"/>
                <w:b/>
                <w:sz w:val="22"/>
                <w:szCs w:val="22"/>
                <w:u w:val="single"/>
                <w:lang w:val="fr-FR" w:eastAsia="en-US" w:bidi="ar-SA"/>
              </w:rPr>
              <w:t>16 029</w:t>
            </w:r>
          </w:p>
        </w:tc>
      </w:tr>
      <w:tr w:rsidR="00CF48C9" w:rsidRPr="00A6571B" w:rsidTr="00CF48C9">
        <w:trPr>
          <w:trHeight w:val="20"/>
          <w:tblCellSpacing w:w="15" w:type="dxa"/>
        </w:trPr>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Exécution par les entreprises</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16 649</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19 348</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22 503</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24 753</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25 768</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26 052</w:t>
            </w:r>
          </w:p>
        </w:tc>
      </w:tr>
      <w:tr w:rsidR="00CF48C9" w:rsidRPr="00A6571B" w:rsidTr="00CF48C9">
        <w:trPr>
          <w:trHeight w:val="20"/>
          <w:tblCellSpacing w:w="15" w:type="dxa"/>
        </w:trPr>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Part des entreprises dans la DIRD (en %)</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61,0</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62,5</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62,1</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63,0</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62,8</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61,9</w:t>
            </w:r>
          </w:p>
        </w:tc>
      </w:tr>
      <w:tr w:rsidR="00CF48C9" w:rsidRPr="00A6571B" w:rsidTr="00CF48C9">
        <w:trPr>
          <w:trHeight w:val="20"/>
          <w:tblCellSpacing w:w="15" w:type="dxa"/>
        </w:trPr>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bCs/>
                <w:sz w:val="22"/>
                <w:szCs w:val="22"/>
                <w:lang w:val="fr-FR" w:eastAsia="en-US" w:bidi="ar-SA"/>
              </w:rPr>
            </w:pPr>
            <w:r w:rsidRPr="00A6571B">
              <w:rPr>
                <w:rFonts w:ascii="Calibri" w:eastAsia="Calibri" w:hAnsi="Calibri" w:cs="Times New Roman"/>
                <w:b/>
                <w:bCs/>
                <w:sz w:val="22"/>
                <w:szCs w:val="22"/>
                <w:lang w:val="fr-FR" w:eastAsia="en-US" w:bidi="ar-SA"/>
              </w:rPr>
              <w:t>Part de la DIRD dans le PIB (en %)</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Cs w:val="24"/>
                <w:lang w:val="fr-FR" w:eastAsia="en-US" w:bidi="ar-SA"/>
              </w:rPr>
            </w:pPr>
            <w:r w:rsidRPr="00A6571B">
              <w:rPr>
                <w:rFonts w:ascii="Calibri" w:eastAsia="Calibri" w:hAnsi="Calibri" w:cs="Times New Roman"/>
                <w:sz w:val="22"/>
                <w:szCs w:val="22"/>
                <w:lang w:val="fr-FR" w:eastAsia="en-US" w:bidi="ar-SA"/>
              </w:rPr>
              <w:t>2,29</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Cs w:val="24"/>
                <w:lang w:val="fr-FR" w:eastAsia="en-US" w:bidi="ar-SA"/>
              </w:rPr>
            </w:pPr>
            <w:r w:rsidRPr="00A6571B">
              <w:rPr>
                <w:rFonts w:ascii="Calibri" w:eastAsia="Calibri" w:hAnsi="Calibri" w:cs="Times New Roman"/>
                <w:sz w:val="22"/>
                <w:szCs w:val="22"/>
                <w:lang w:val="fr-FR" w:eastAsia="en-US" w:bidi="ar-SA"/>
              </w:rPr>
              <w:t>2,19</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Cs w:val="24"/>
                <w:lang w:val="fr-FR" w:eastAsia="en-US" w:bidi="ar-SA"/>
              </w:rPr>
            </w:pPr>
            <w:r w:rsidRPr="00A6571B">
              <w:rPr>
                <w:rFonts w:ascii="Calibri" w:eastAsia="Calibri" w:hAnsi="Calibri" w:cs="Times New Roman"/>
                <w:sz w:val="22"/>
                <w:szCs w:val="22"/>
                <w:lang w:val="fr-FR" w:eastAsia="en-US" w:bidi="ar-SA"/>
              </w:rPr>
              <w:t>2,10</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Cs w:val="24"/>
                <w:lang w:val="fr-FR" w:eastAsia="en-US" w:bidi="ar-SA"/>
              </w:rPr>
            </w:pPr>
            <w:r w:rsidRPr="00A6571B">
              <w:rPr>
                <w:rFonts w:ascii="Calibri" w:eastAsia="Calibri" w:hAnsi="Calibri" w:cs="Times New Roman"/>
                <w:sz w:val="22"/>
                <w:szCs w:val="22"/>
                <w:lang w:val="fr-FR" w:eastAsia="en-US" w:bidi="ar-SA"/>
              </w:rPr>
              <w:t>2,07</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szCs w:val="24"/>
                <w:lang w:val="fr-FR" w:eastAsia="en-US" w:bidi="ar-SA"/>
              </w:rPr>
            </w:pPr>
            <w:r w:rsidRPr="00A6571B">
              <w:rPr>
                <w:rFonts w:ascii="Calibri" w:eastAsia="Calibri" w:hAnsi="Calibri" w:cs="Times New Roman"/>
                <w:sz w:val="22"/>
                <w:szCs w:val="22"/>
                <w:lang w:val="fr-FR" w:eastAsia="en-US" w:bidi="ar-SA"/>
              </w:rPr>
              <w:t>2,11</w:t>
            </w:r>
          </w:p>
        </w:tc>
        <w:tc>
          <w:tcPr>
            <w:tcW w:w="0" w:type="auto"/>
            <w:vAlign w:val="center"/>
            <w:hideMark/>
          </w:tcPr>
          <w:p w:rsidR="00CF48C9" w:rsidRPr="00A6571B" w:rsidRDefault="00CF48C9" w:rsidP="00560051">
            <w:pPr>
              <w:widowControl/>
              <w:suppressAutoHyphens w:val="0"/>
              <w:spacing w:after="200" w:line="276" w:lineRule="auto"/>
              <w:rPr>
                <w:rFonts w:ascii="Calibri" w:eastAsia="Calibri" w:hAnsi="Calibri" w:cs="Times New Roman"/>
                <w:b/>
                <w:szCs w:val="24"/>
                <w:u w:val="single"/>
                <w:lang w:val="fr-FR" w:eastAsia="en-US" w:bidi="ar-SA"/>
              </w:rPr>
            </w:pPr>
            <w:r w:rsidRPr="00A6571B">
              <w:rPr>
                <w:rFonts w:ascii="Calibri" w:eastAsia="Calibri" w:hAnsi="Calibri" w:cs="Times New Roman"/>
                <w:b/>
                <w:sz w:val="22"/>
                <w:szCs w:val="22"/>
                <w:u w:val="single"/>
                <w:lang w:val="fr-FR" w:eastAsia="en-US" w:bidi="ar-SA"/>
              </w:rPr>
              <w:t>2,21</w:t>
            </w:r>
          </w:p>
        </w:tc>
      </w:tr>
    </w:tbl>
    <w:p w:rsidR="00CF48C9" w:rsidRDefault="00CF48C9" w:rsidP="00CF48C9">
      <w:pPr>
        <w:widowControl/>
        <w:suppressAutoHyphens w:val="0"/>
        <w:spacing w:after="200" w:line="276" w:lineRule="auto"/>
        <w:rPr>
          <w:rFonts w:ascii="Calibri" w:eastAsia="Calibri" w:hAnsi="Calibri" w:cs="Times New Roman"/>
          <w:sz w:val="22"/>
          <w:szCs w:val="22"/>
          <w:lang w:val="fr-FR" w:eastAsia="en-US" w:bidi="ar-SA"/>
        </w:rPr>
      </w:pPr>
      <w:r w:rsidRPr="00A6571B">
        <w:rPr>
          <w:rFonts w:ascii="Calibri" w:eastAsia="Calibri" w:hAnsi="Calibri" w:cs="Times New Roman"/>
          <w:sz w:val="22"/>
          <w:szCs w:val="22"/>
          <w:lang w:val="fr-FR" w:eastAsia="en-US" w:bidi="ar-SA"/>
        </w:rPr>
        <w:t>2. Administrations publiques et privées (État, enseignement supérieur et institutions sans but lucratif).</w:t>
      </w:r>
    </w:p>
    <w:p w:rsidR="00CF48C9" w:rsidRDefault="00965C58" w:rsidP="00965C58">
      <w:pPr>
        <w:widowControl/>
        <w:suppressAutoHyphens w:val="0"/>
        <w:spacing w:after="200" w:line="276" w:lineRule="auto"/>
        <w:rPr>
          <w:rFonts w:ascii="Calibri" w:eastAsia="Calibri" w:hAnsi="Calibri" w:cs="Times New Roman"/>
          <w:sz w:val="22"/>
          <w:szCs w:val="22"/>
          <w:lang w:val="fr-FR" w:eastAsia="en-US" w:bidi="ar-SA"/>
        </w:rPr>
      </w:pPr>
      <w:r>
        <w:rPr>
          <w:rFonts w:ascii="Calibri" w:eastAsia="Calibri" w:hAnsi="Calibri" w:cs="Times New Roman"/>
          <w:sz w:val="22"/>
          <w:szCs w:val="22"/>
          <w:lang w:val="fr-FR" w:eastAsia="en-US" w:bidi="ar-SA"/>
        </w:rPr>
        <w:t xml:space="preserve">Source : </w:t>
      </w:r>
      <w:r w:rsidR="00CF48C9">
        <w:rPr>
          <w:rFonts w:ascii="Calibri" w:eastAsia="Calibri" w:hAnsi="Calibri" w:cs="Times New Roman"/>
          <w:sz w:val="22"/>
          <w:szCs w:val="22"/>
          <w:lang w:val="fr-FR" w:eastAsia="en-US" w:bidi="ar-SA"/>
        </w:rPr>
        <w:t>INSEE</w:t>
      </w:r>
      <w:r>
        <w:rPr>
          <w:rFonts w:ascii="Calibri" w:eastAsia="Calibri" w:hAnsi="Calibri" w:cs="Times New Roman"/>
          <w:sz w:val="22"/>
          <w:szCs w:val="22"/>
          <w:lang w:val="fr-FR" w:eastAsia="en-US" w:bidi="ar-SA"/>
        </w:rPr>
        <w:t>, 2010</w:t>
      </w:r>
    </w:p>
    <w:p w:rsidR="00CF48C9" w:rsidRDefault="00A74B03" w:rsidP="00CF48C9">
      <w:pPr>
        <w:widowControl/>
        <w:suppressAutoHyphens w:val="0"/>
        <w:spacing w:after="200"/>
        <w:jc w:val="both"/>
        <w:rPr>
          <w:rFonts w:ascii="Calibri" w:eastAsia="Calibri" w:hAnsi="Calibri" w:cs="Times New Roman"/>
          <w:sz w:val="22"/>
          <w:szCs w:val="22"/>
          <w:lang w:val="fr-FR" w:eastAsia="en-US" w:bidi="ar-SA"/>
        </w:rPr>
      </w:pPr>
      <w:r w:rsidRPr="000A4F72">
        <w:rPr>
          <w:rFonts w:ascii="Times New Roman" w:hAnsi="Times New Roman" w:cs="Times New Roman"/>
          <w:color w:val="000000"/>
          <w:sz w:val="22"/>
          <w:szCs w:val="22"/>
          <w:lang w:val="fr-FR"/>
        </w:rPr>
        <w:t>DOCUMENT 2</w:t>
      </w:r>
    </w:p>
    <w:p w:rsidR="00CF48C9" w:rsidRDefault="00CF48C9" w:rsidP="00CF48C9">
      <w:pPr>
        <w:widowControl/>
        <w:suppressAutoHyphens w:val="0"/>
        <w:spacing w:after="200"/>
        <w:jc w:val="both"/>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Un agent ne peut, en général, s’approprier tous les  bénéfices associés à son invention : d’autres agents pourront utiliser le savoir nouveau qu’il a produit pour réaliser à leur tour des inventions, sources pour eux de bénéfices, sana rémunérer l’inventeur initial (rémunère-t-on aujourd’hui l’inventeur de la roue,). Ainsi, le rendement privé de la recherche peut être inférieur à son rendement social. En conséquence, les agents peuvent sous investir en recherche, se cantonnant aux projets qui ont un rendement privé suffisant, alors que d’autres projets auraient un rendement social élevé mais ont un rendement privé trop faible. La mission de l’Etat dans un tel cadre est de faire en sorte que l’investissement en recherche soit à la mesure  du rendement social de cette activité […]. L’Etat dispose pour cela d’une riche palette d’outils : il peut investir lui-même dans un système de recherche publique, comblant directement le déficit en recherche ; il peut encourager les firmes à investir en augmentant le rendement privé, à travers des subventions, des avantages fiscaux ou autres ; il peut tenter de limiter les imperfections des marchés en modifiant le contexte institutionnel dans lequel les agents opèrent (politique de concurrence, législation des brevets)</w:t>
      </w:r>
      <w:r w:rsidR="00690F1A">
        <w:rPr>
          <w:rFonts w:ascii="Times New Roman" w:hAnsi="Times New Roman" w:cs="Times New Roman"/>
          <w:color w:val="000000"/>
          <w:sz w:val="22"/>
          <w:szCs w:val="22"/>
          <w:lang w:val="fr-FR"/>
        </w:rPr>
        <w:t>.</w:t>
      </w:r>
    </w:p>
    <w:p w:rsidR="00CF48C9" w:rsidRPr="00965C58" w:rsidRDefault="00965C58" w:rsidP="00965C58">
      <w:pPr>
        <w:widowControl/>
        <w:suppressAutoHyphens w:val="0"/>
        <w:spacing w:after="200"/>
        <w:rPr>
          <w:rFonts w:ascii="Calibri" w:eastAsia="Calibri" w:hAnsi="Calibri" w:cs="Times New Roman"/>
          <w:sz w:val="22"/>
          <w:szCs w:val="22"/>
          <w:lang w:val="fr-FR" w:eastAsia="en-US" w:bidi="ar-SA"/>
        </w:rPr>
      </w:pPr>
      <w:r w:rsidRPr="00965C58">
        <w:rPr>
          <w:rFonts w:ascii="Times New Roman" w:hAnsi="Times New Roman" w:cs="Times New Roman"/>
          <w:sz w:val="22"/>
          <w:szCs w:val="22"/>
          <w:lang w:val="fr-FR"/>
        </w:rPr>
        <w:t>Source</w:t>
      </w:r>
      <w:r w:rsidRPr="00965C58">
        <w:rPr>
          <w:sz w:val="22"/>
          <w:szCs w:val="22"/>
          <w:lang w:val="fr-FR"/>
        </w:rPr>
        <w:t xml:space="preserve"> : </w:t>
      </w:r>
      <w:r w:rsidR="00CF48C9" w:rsidRPr="00965C58">
        <w:rPr>
          <w:rFonts w:ascii="Times New Roman" w:hAnsi="Times New Roman" w:cs="Times New Roman"/>
          <w:color w:val="000000"/>
          <w:sz w:val="22"/>
          <w:szCs w:val="22"/>
          <w:lang w:val="fr-FR"/>
        </w:rPr>
        <w:t xml:space="preserve">D. </w:t>
      </w:r>
      <w:proofErr w:type="spellStart"/>
      <w:r w:rsidR="00CF48C9" w:rsidRPr="00965C58">
        <w:rPr>
          <w:rFonts w:ascii="Times New Roman" w:hAnsi="Times New Roman" w:cs="Times New Roman"/>
          <w:color w:val="000000"/>
          <w:sz w:val="22"/>
          <w:szCs w:val="22"/>
          <w:lang w:val="fr-FR"/>
        </w:rPr>
        <w:t>Guellec</w:t>
      </w:r>
      <w:proofErr w:type="spellEnd"/>
      <w:r w:rsidR="00CF48C9" w:rsidRPr="00965C58">
        <w:rPr>
          <w:rFonts w:ascii="Times New Roman" w:hAnsi="Times New Roman" w:cs="Times New Roman"/>
          <w:color w:val="000000"/>
          <w:sz w:val="22"/>
          <w:szCs w:val="22"/>
          <w:lang w:val="fr-FR"/>
        </w:rPr>
        <w:t>, Economie de l’innovation, collection Repères, La découverte, 2009</w:t>
      </w:r>
    </w:p>
    <w:sectPr w:rsidR="00CF48C9" w:rsidRPr="00965C58" w:rsidSect="00965C58">
      <w:headerReference w:type="even" r:id="rId6"/>
      <w:headerReference w:type="default" r:id="rId7"/>
      <w:footerReference w:type="even" r:id="rId8"/>
      <w:footerReference w:type="default" r:id="rId9"/>
      <w:headerReference w:type="first" r:id="rId10"/>
      <w:footerReference w:type="first" r:id="rId11"/>
      <w:pgSz w:w="11906" w:h="16838"/>
      <w:pgMar w:top="426" w:right="1134"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051" w:rsidRDefault="00560051" w:rsidP="000A4F72">
      <w:r>
        <w:separator/>
      </w:r>
    </w:p>
  </w:endnote>
  <w:endnote w:type="continuationSeparator" w:id="1">
    <w:p w:rsidR="00560051" w:rsidRDefault="00560051" w:rsidP="000A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051" w:rsidRDefault="00560051" w:rsidP="000A4F72">
      <w:r>
        <w:separator/>
      </w:r>
    </w:p>
  </w:footnote>
  <w:footnote w:type="continuationSeparator" w:id="1">
    <w:p w:rsidR="00560051" w:rsidRDefault="00560051" w:rsidP="000A4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72" w:rsidRDefault="000A4F7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5389E"/>
    <w:rsid w:val="000A4F72"/>
    <w:rsid w:val="000D03E8"/>
    <w:rsid w:val="004763D9"/>
    <w:rsid w:val="00560051"/>
    <w:rsid w:val="00690F1A"/>
    <w:rsid w:val="007551E0"/>
    <w:rsid w:val="007E5B5D"/>
    <w:rsid w:val="00882887"/>
    <w:rsid w:val="00965C58"/>
    <w:rsid w:val="009E1066"/>
    <w:rsid w:val="00A74B03"/>
    <w:rsid w:val="00AD640E"/>
    <w:rsid w:val="00B01D36"/>
    <w:rsid w:val="00B45E4F"/>
    <w:rsid w:val="00B52ABA"/>
    <w:rsid w:val="00BC52AB"/>
    <w:rsid w:val="00BF49A6"/>
    <w:rsid w:val="00CE557D"/>
    <w:rsid w:val="00CF48C9"/>
    <w:rsid w:val="00E167D7"/>
    <w:rsid w:val="00E768D4"/>
    <w:rsid w:val="00FC267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89E"/>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05389E"/>
  </w:style>
  <w:style w:type="character" w:customStyle="1" w:styleId="WW-Absatz-Standardschriftart">
    <w:name w:val="WW-Absatz-Standardschriftart"/>
    <w:rsid w:val="0005389E"/>
  </w:style>
  <w:style w:type="character" w:customStyle="1" w:styleId="Policepardfaut1">
    <w:name w:val="Police par défaut1"/>
    <w:rsid w:val="0005389E"/>
  </w:style>
  <w:style w:type="paragraph" w:customStyle="1" w:styleId="Titre10">
    <w:name w:val="Titre1"/>
    <w:basedOn w:val="Normal"/>
    <w:next w:val="Corpsdetexte"/>
    <w:rsid w:val="0005389E"/>
    <w:pPr>
      <w:keepNext/>
      <w:spacing w:before="240" w:after="120"/>
    </w:pPr>
    <w:rPr>
      <w:rFonts w:ascii="Arial" w:eastAsia="Arial Unicode MS" w:hAnsi="Arial" w:cs="Arial Unicode MS"/>
      <w:sz w:val="28"/>
      <w:szCs w:val="28"/>
    </w:rPr>
  </w:style>
  <w:style w:type="paragraph" w:styleId="Corpsdetexte">
    <w:name w:val="Body Text"/>
    <w:basedOn w:val="Normal"/>
    <w:rsid w:val="0005389E"/>
    <w:pPr>
      <w:spacing w:after="120"/>
    </w:pPr>
  </w:style>
  <w:style w:type="paragraph" w:styleId="Liste">
    <w:name w:val="List"/>
    <w:basedOn w:val="Corpsdetexte"/>
    <w:rsid w:val="0005389E"/>
  </w:style>
  <w:style w:type="paragraph" w:customStyle="1" w:styleId="Lgende1">
    <w:name w:val="Légende1"/>
    <w:basedOn w:val="Normal"/>
    <w:rsid w:val="0005389E"/>
    <w:pPr>
      <w:suppressLineNumbers/>
      <w:spacing w:before="120" w:after="120"/>
    </w:pPr>
    <w:rPr>
      <w:i/>
      <w:iCs/>
      <w:szCs w:val="24"/>
    </w:rPr>
  </w:style>
  <w:style w:type="paragraph" w:customStyle="1" w:styleId="Index">
    <w:name w:val="Index"/>
    <w:basedOn w:val="Normal"/>
    <w:rsid w:val="0005389E"/>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link w:val="Pieddepage"/>
    <w:uiPriority w:val="99"/>
    <w:semiHidden/>
    <w:rsid w:val="000A4F72"/>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LEMOINE</cp:lastModifiedBy>
  <cp:revision>4</cp:revision>
  <cp:lastPrinted>1601-01-01T00:00:00Z</cp:lastPrinted>
  <dcterms:created xsi:type="dcterms:W3CDTF">2014-03-09T07:08:00Z</dcterms:created>
  <dcterms:modified xsi:type="dcterms:W3CDTF">2014-04-05T06:09:00Z</dcterms:modified>
</cp:coreProperties>
</file>