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Layout w:type="fixed"/>
        <w:tblLook w:val="0000"/>
      </w:tblPr>
      <w:tblGrid>
        <w:gridCol w:w="2518"/>
        <w:gridCol w:w="4678"/>
        <w:gridCol w:w="2612"/>
      </w:tblGrid>
      <w:tr w:rsidR="00E2236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36D" w:rsidRDefault="009C1035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Académie d'AMIENS Baccalauréat ES </w:t>
            </w:r>
          </w:p>
          <w:p w:rsidR="00E2236D" w:rsidRDefault="009C1035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Session 2014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36D" w:rsidRDefault="009C10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Epreuve orale de Sciences économiques et sociales (Enseignement spécifique :</w:t>
            </w:r>
          </w:p>
          <w:p w:rsidR="00E2236D" w:rsidRDefault="009C103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coefficient 7)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6D" w:rsidRDefault="009C1035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N° du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sujet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 14c7-</w:t>
            </w:r>
            <w:r w:rsidR="001414FF">
              <w:rPr>
                <w:rFonts w:ascii="Times New Roman" w:hAnsi="Times New Roman" w:cs="Times New Roman"/>
                <w:b/>
                <w:sz w:val="22"/>
                <w:szCs w:val="22"/>
              </w:rPr>
              <w:t>1-31-</w:t>
            </w:r>
            <w:r w:rsidR="00A23AE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E2236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36D" w:rsidRDefault="009C103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Durée de la préparation : 30 minutes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36D" w:rsidRDefault="009C10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Le candidat s’appuiera sur les 2 documents pour répondre à la question principale.</w:t>
            </w:r>
          </w:p>
          <w:p w:rsidR="00E2236D" w:rsidRDefault="009C103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Les questions complémentaires 2 et 3 porteront sur d’autres thèmes du programme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6D" w:rsidRDefault="009C1035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Durée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l'interrogation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 20 minutes</w:t>
            </w:r>
          </w:p>
        </w:tc>
      </w:tr>
      <w:tr w:rsidR="00E2236D" w:rsidRPr="00A23AEC">
        <w:tc>
          <w:tcPr>
            <w:tcW w:w="9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6D" w:rsidRDefault="009C1035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Thème de la question principale : La croissance économique est-elle compatible avec la préservation de l'environnement ? </w:t>
            </w:r>
          </w:p>
        </w:tc>
      </w:tr>
      <w:tr w:rsidR="00E2236D" w:rsidRPr="00A23AEC">
        <w:tc>
          <w:tcPr>
            <w:tcW w:w="9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6D" w:rsidRDefault="009C1035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Question principale (sur 10 points) : Vous montrerez en quoi la mise en place du développement durable se heurte à de nombreuses difficultés.  </w:t>
            </w:r>
          </w:p>
        </w:tc>
      </w:tr>
      <w:tr w:rsidR="00E2236D">
        <w:tc>
          <w:tcPr>
            <w:tcW w:w="9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6D" w:rsidRDefault="009C1035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Questions complémentaires (sur 10 points) :</w:t>
            </w:r>
          </w:p>
        </w:tc>
      </w:tr>
      <w:tr w:rsidR="00E2236D">
        <w:tc>
          <w:tcPr>
            <w:tcW w:w="9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6D" w:rsidRDefault="009C103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1) Comparer la situation des Etats-Unis et de la Chine concernant l'émission de CO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  <w:lang w:val="fr-FR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(Document1). </w:t>
            </w:r>
            <w:r w:rsidR="00B92D0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4 points</w:t>
            </w:r>
            <w:r w:rsidR="00B92D0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</w:tc>
      </w:tr>
      <w:tr w:rsidR="00E2236D">
        <w:tc>
          <w:tcPr>
            <w:tcW w:w="9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6D" w:rsidRDefault="009C103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2) Quels sont les déterminants de la mobilité sociale ? </w:t>
            </w:r>
            <w:r w:rsidR="00B92D0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 points</w:t>
            </w:r>
            <w:r w:rsidR="00B92D0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</w:tr>
      <w:tr w:rsidR="00E2236D">
        <w:tc>
          <w:tcPr>
            <w:tcW w:w="9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6D" w:rsidRDefault="009C1035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3) Comment l'analyse néo-classique analyse-t-elle le marché du travail ? </w:t>
            </w:r>
            <w:r w:rsidR="00B92D0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 points</w:t>
            </w:r>
            <w:r w:rsidR="00B92D07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</w:p>
        </w:tc>
      </w:tr>
    </w:tbl>
    <w:p w:rsidR="00E2236D" w:rsidRDefault="00E2236D"/>
    <w:p w:rsidR="00E2236D" w:rsidRDefault="009C10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>DOCUMENT 1</w:t>
      </w:r>
    </w:p>
    <w:p w:rsidR="00E2236D" w:rsidRDefault="000320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center"/>
        <w:rPr>
          <w:rFonts w:ascii="Times New Roman" w:hAnsi="Times New Roman"/>
          <w:color w:val="000000"/>
          <w:sz w:val="22"/>
          <w:szCs w:val="22"/>
          <w:lang w:val="fr-FR"/>
        </w:rPr>
      </w:pPr>
      <w:r>
        <w:fldChar w:fldCharType="begin"/>
      </w:r>
      <w:r w:rsidR="009C1035">
        <w:instrText xml:space="preserve"> INCLUDEPICTURE  "http://www.consoglobe.com/wp-content/uploads/2013/07/émission-par-habitant-dans-le-monde-500.jpg" \d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pt;height:229.45pt" o:bordertopcolor="black" o:borderleftcolor="black" o:borderbottomcolor="black" o:borderrightcolor="black">
            <v:imagedata r:id="rId7" r:href="rId8"/>
            <w10:bordertop type="single" width="1"/>
            <w10:borderleft type="single" width="1"/>
            <w10:borderbottom type="single" width="1"/>
            <w10:borderright type="single" width="1"/>
          </v:shape>
        </w:pict>
      </w:r>
      <w:r>
        <w:fldChar w:fldCharType="end"/>
      </w:r>
      <w:r w:rsidR="009C1035">
        <w:t xml:space="preserve">  </w:t>
      </w:r>
      <w:r w:rsidR="009C1035">
        <w:rPr>
          <w:rFonts w:ascii="Times New Roman" w:hAnsi="Times New Roman"/>
          <w:color w:val="000000"/>
          <w:sz w:val="22"/>
          <w:szCs w:val="22"/>
          <w:lang w:val="fr-FR"/>
        </w:rPr>
        <w:t xml:space="preserve"> </w:t>
      </w:r>
    </w:p>
    <w:p w:rsidR="00E2236D" w:rsidRDefault="00E223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E2236D" w:rsidRDefault="009C10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>DOCUMENT 2</w:t>
      </w:r>
    </w:p>
    <w:p w:rsidR="00E2236D" w:rsidRPr="001414FF" w:rsidRDefault="009C10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00" w:lineRule="atLeast"/>
        <w:jc w:val="both"/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</w:pPr>
      <w:r w:rsidRPr="001414FF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 xml:space="preserve">La production mondiale de pétrole vert explose et la politique </w:t>
      </w:r>
      <w:r w:rsidR="00B92D07" w:rsidRPr="001414FF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>énergétique</w:t>
      </w:r>
      <w:r w:rsidRPr="001414FF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 xml:space="preserve"> </w:t>
      </w:r>
      <w:r w:rsidR="00B92D07" w:rsidRPr="001414FF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>européenne</w:t>
      </w:r>
      <w:r w:rsidRPr="001414FF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 xml:space="preserve"> y contribue. L’Agence Internationale de l’Energie (AIE) indique qu’entre 2000 et 2010, la production d’</w:t>
      </w:r>
      <w:r w:rsidR="00B92D07" w:rsidRPr="001414FF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>agro carburants</w:t>
      </w:r>
      <w:r w:rsidRPr="001414FF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 xml:space="preserve"> a bondi de 625 %, passant de 16 à 100 milliards de litres. De plus en plus de terres sont nécessaires pour y parvenir. D’</w:t>
      </w:r>
      <w:r w:rsidR="00B92D07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>aprè</w:t>
      </w:r>
      <w:r w:rsidR="00B92D07" w:rsidRPr="001414FF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>s</w:t>
      </w:r>
      <w:r w:rsidRPr="001414FF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 xml:space="preserve"> le Programme des Nations-Unies pour l’Environnement, les superficies consacrées aux </w:t>
      </w:r>
      <w:r w:rsidR="00B92D07" w:rsidRPr="001414FF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>agro carburants</w:t>
      </w:r>
      <w:r w:rsidRPr="001414FF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 xml:space="preserve"> ont presque triplé entre 2004 et 2008, passant de 13,8 millions d’hectares à 35,7. Si cette tendance se poursuit, l’AIE estime que 100 millions d’hectares seront nécessaires d’ici 2040 ! Selon une étude associant recherche, organisations internationales et mouvements de la </w:t>
      </w:r>
      <w:r w:rsidR="00B92D07" w:rsidRPr="001414FF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>société</w:t>
      </w:r>
      <w:r w:rsidRPr="001414FF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 xml:space="preserve"> civile publiée en janvier 2012, les </w:t>
      </w:r>
      <w:r w:rsidR="00B92D07" w:rsidRPr="001414FF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>agro carburants</w:t>
      </w:r>
      <w:r w:rsidRPr="001414FF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 xml:space="preserve"> sont la principale cause d’achats massifs de terre, souvent appelés “accaparement des terres”, effectués en violation des droits de l’homme : entre 2001 et 2011, ces transactions ont fortement augmente et auraient atteint 203 millions d’hectares soit </w:t>
      </w:r>
      <w:r w:rsidR="00B92D07" w:rsidRPr="001414FF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>près</w:t>
      </w:r>
      <w:r w:rsidRPr="001414FF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 xml:space="preserve"> de 4 fois la superficie de la France </w:t>
      </w:r>
      <w:r w:rsidR="00B92D07" w:rsidRPr="001414FF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>métropolitaine</w:t>
      </w:r>
      <w:r w:rsidRPr="001414FF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>. L’Afrique est le continent le plus touche par ce phénomène. L’étude a analysé les achats concernant 71 millions d’hectares. La production d’</w:t>
      </w:r>
      <w:r w:rsidR="00B92D07" w:rsidRPr="001414FF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>agro carburants</w:t>
      </w:r>
      <w:r w:rsidRPr="001414FF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 xml:space="preserve"> en est la première motivation : 40 % des transactions au niveau mondial et 66 % pour le seul continent africain. Or, il s’agit de la région du monde la plus affectée par l’</w:t>
      </w:r>
      <w:r w:rsidR="00B92D07" w:rsidRPr="001414FF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>insécurité</w:t>
      </w:r>
      <w:r w:rsidRPr="001414FF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 xml:space="preserve"> alimentaire, puisque un africain sur trois souffre de la faim.</w:t>
      </w:r>
    </w:p>
    <w:p w:rsidR="00E2236D" w:rsidRPr="001414FF" w:rsidRDefault="00E2236D">
      <w:pPr>
        <w:autoSpaceDE w:val="0"/>
        <w:spacing w:line="100" w:lineRule="atLeast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E2236D" w:rsidRPr="001414FF" w:rsidRDefault="009C1035">
      <w:pPr>
        <w:autoSpaceDE w:val="0"/>
        <w:spacing w:line="100" w:lineRule="atLeast"/>
        <w:jc w:val="both"/>
        <w:rPr>
          <w:lang w:val="fr-FR"/>
        </w:rPr>
      </w:pPr>
      <w:r w:rsidRPr="001414FF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 xml:space="preserve">Source : </w:t>
      </w:r>
      <w:r w:rsidRPr="001414FF">
        <w:rPr>
          <w:rFonts w:ascii="Times New Roman" w:eastAsia="Verdana" w:hAnsi="Times New Roman" w:cs="Verdana"/>
          <w:i/>
          <w:iCs/>
          <w:color w:val="231F20"/>
          <w:sz w:val="22"/>
          <w:szCs w:val="22"/>
          <w:lang w:val="fr-FR"/>
        </w:rPr>
        <w:t>Nos voitures carburent-elles à la faim? Pour une politique énergétique européenne respectant le droit à l'alimentation</w:t>
      </w:r>
      <w:r w:rsidRPr="001414FF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 xml:space="preserve">, Campagne </w:t>
      </w:r>
      <w:proofErr w:type="spellStart"/>
      <w:r w:rsidRPr="001414FF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>alimenTerre</w:t>
      </w:r>
      <w:proofErr w:type="spellEnd"/>
      <w:r w:rsidRPr="001414FF">
        <w:rPr>
          <w:rFonts w:ascii="Times New Roman" w:eastAsia="Verdana" w:hAnsi="Times New Roman" w:cs="Verdana"/>
          <w:color w:val="231F20"/>
          <w:sz w:val="22"/>
          <w:szCs w:val="22"/>
          <w:lang w:val="fr-FR"/>
        </w:rPr>
        <w:t xml:space="preserve">, 2012. </w:t>
      </w:r>
    </w:p>
    <w:sectPr w:rsidR="00E2236D" w:rsidRPr="001414FF" w:rsidSect="00E2236D"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36D" w:rsidRDefault="009C1035">
      <w:r>
        <w:separator/>
      </w:r>
    </w:p>
  </w:endnote>
  <w:endnote w:type="continuationSeparator" w:id="1">
    <w:p w:rsidR="00E2236D" w:rsidRDefault="009C1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6D" w:rsidRDefault="009C1035">
    <w:pPr>
      <w:pStyle w:val="Pieddepage"/>
      <w:jc w:val="center"/>
      <w:rPr>
        <w:rFonts w:ascii="Arial" w:hAnsi="Arial"/>
        <w:sz w:val="20"/>
        <w:lang w:val="fr-FR"/>
      </w:rPr>
    </w:pPr>
    <w:r>
      <w:rPr>
        <w:rFonts w:ascii="Arial" w:hAnsi="Arial"/>
        <w:sz w:val="20"/>
        <w:lang w:val="fr-FR"/>
      </w:rPr>
      <w:t>N'écrivez pas sur ce sujet, que vous devrez rendre en fin d'interrogation</w:t>
    </w:r>
  </w:p>
  <w:p w:rsidR="00E2236D" w:rsidRDefault="00E2236D">
    <w:pPr>
      <w:pStyle w:val="Pieddepage"/>
      <w:rPr>
        <w:sz w:val="2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36D" w:rsidRDefault="009C1035">
      <w:r>
        <w:separator/>
      </w:r>
    </w:p>
  </w:footnote>
  <w:footnote w:type="continuationSeparator" w:id="1">
    <w:p w:rsidR="00E2236D" w:rsidRDefault="009C1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035"/>
    <w:rsid w:val="00032053"/>
    <w:rsid w:val="001414FF"/>
    <w:rsid w:val="00885027"/>
    <w:rsid w:val="009C1035"/>
    <w:rsid w:val="00A23AEC"/>
    <w:rsid w:val="00B92D07"/>
    <w:rsid w:val="00E2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6D"/>
    <w:pPr>
      <w:widowControl w:val="0"/>
      <w:suppressAutoHyphens/>
    </w:pPr>
    <w:rPr>
      <w:rFonts w:ascii="Helvetica" w:eastAsia="Helvetica" w:hAnsi="Helvetica" w:cs="Helvetica"/>
      <w:sz w:val="24"/>
      <w:lang w:val="en-US" w:eastAsia="hi-IN" w:bidi="hi-IN"/>
    </w:rPr>
  </w:style>
  <w:style w:type="paragraph" w:styleId="Titre1">
    <w:name w:val="heading 1"/>
    <w:basedOn w:val="Normal"/>
    <w:next w:val="Normal"/>
    <w:qFormat/>
    <w:rsid w:val="00E2236D"/>
    <w:pPr>
      <w:keepNext/>
      <w:widowControl/>
      <w:tabs>
        <w:tab w:val="num" w:pos="0"/>
      </w:tabs>
      <w:suppressAutoHyphens w:val="0"/>
      <w:ind w:left="432" w:hanging="432"/>
      <w:outlineLvl w:val="0"/>
    </w:pPr>
    <w:rPr>
      <w:rFonts w:ascii="Times New Roman" w:eastAsia="Times New Roman" w:hAnsi="Times New Roman" w:cs="Times New Roman"/>
      <w:b/>
      <w:sz w:val="22"/>
      <w:lang w:val="fr-FR" w:eastAsia="ar-S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E2236D"/>
  </w:style>
  <w:style w:type="character" w:customStyle="1" w:styleId="WW-Absatz-Standardschriftart">
    <w:name w:val="WW-Absatz-Standardschriftart"/>
    <w:rsid w:val="00E2236D"/>
  </w:style>
  <w:style w:type="character" w:customStyle="1" w:styleId="Policepardfaut1">
    <w:name w:val="Police par défaut1"/>
    <w:rsid w:val="00E2236D"/>
  </w:style>
  <w:style w:type="character" w:customStyle="1" w:styleId="WW-Absatz-Standardschriftart1">
    <w:name w:val="WW-Absatz-Standardschriftart1"/>
    <w:rsid w:val="00E2236D"/>
  </w:style>
  <w:style w:type="character" w:customStyle="1" w:styleId="WW-Absatz-Standardschriftart11">
    <w:name w:val="WW-Absatz-Standardschriftart11"/>
    <w:rsid w:val="00E2236D"/>
  </w:style>
  <w:style w:type="character" w:customStyle="1" w:styleId="Policepardfaut2">
    <w:name w:val="Police par défaut2"/>
    <w:rsid w:val="00E2236D"/>
  </w:style>
  <w:style w:type="character" w:customStyle="1" w:styleId="Titre1Car">
    <w:name w:val="Titre 1 Car"/>
    <w:basedOn w:val="Policepardfaut1"/>
    <w:rsid w:val="00E2236D"/>
    <w:rPr>
      <w:b/>
      <w:sz w:val="22"/>
    </w:rPr>
  </w:style>
  <w:style w:type="character" w:customStyle="1" w:styleId="En-tteCar">
    <w:name w:val="En-tête Car"/>
    <w:basedOn w:val="Policepardfaut1"/>
    <w:rsid w:val="00E2236D"/>
    <w:rPr>
      <w:rFonts w:ascii="Helvetica" w:eastAsia="Helvetica" w:hAnsi="Helvetica" w:cs="Mangal"/>
      <w:sz w:val="24"/>
      <w:lang w:val="en-US" w:eastAsia="hi-IN" w:bidi="hi-IN"/>
    </w:rPr>
  </w:style>
  <w:style w:type="character" w:customStyle="1" w:styleId="PieddepageCar">
    <w:name w:val="Pied de page Car"/>
    <w:basedOn w:val="Policepardfaut1"/>
    <w:rsid w:val="00E2236D"/>
    <w:rPr>
      <w:rFonts w:ascii="Helvetica" w:eastAsia="Helvetica" w:hAnsi="Helvetica" w:cs="Mangal"/>
      <w:sz w:val="24"/>
      <w:lang w:val="en-US" w:eastAsia="hi-IN" w:bidi="hi-IN"/>
    </w:rPr>
  </w:style>
  <w:style w:type="character" w:styleId="Lienhypertexte">
    <w:name w:val="Hyperlink"/>
    <w:rsid w:val="00E2236D"/>
    <w:rPr>
      <w:color w:val="000080"/>
      <w:u w:val="single"/>
    </w:rPr>
  </w:style>
  <w:style w:type="paragraph" w:customStyle="1" w:styleId="Titre2">
    <w:name w:val="Titre2"/>
    <w:basedOn w:val="Normal"/>
    <w:next w:val="Corpsdetexte"/>
    <w:rsid w:val="00E22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E2236D"/>
    <w:pPr>
      <w:spacing w:after="120"/>
    </w:pPr>
  </w:style>
  <w:style w:type="paragraph" w:styleId="Liste">
    <w:name w:val="List"/>
    <w:basedOn w:val="Corpsdetexte"/>
    <w:rsid w:val="00E2236D"/>
  </w:style>
  <w:style w:type="paragraph" w:customStyle="1" w:styleId="Lgende2">
    <w:name w:val="Légende2"/>
    <w:basedOn w:val="Normal"/>
    <w:rsid w:val="00E2236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E2236D"/>
    <w:pPr>
      <w:suppressLineNumbers/>
    </w:pPr>
  </w:style>
  <w:style w:type="paragraph" w:customStyle="1" w:styleId="Titre10">
    <w:name w:val="Titre1"/>
    <w:basedOn w:val="Normal"/>
    <w:next w:val="Corpsdetexte"/>
    <w:rsid w:val="00E2236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gende1">
    <w:name w:val="Légende1"/>
    <w:basedOn w:val="Normal"/>
    <w:rsid w:val="00E2236D"/>
    <w:pPr>
      <w:suppressLineNumbers/>
      <w:spacing w:before="120" w:after="120"/>
    </w:pPr>
    <w:rPr>
      <w:i/>
      <w:iCs/>
      <w:szCs w:val="24"/>
    </w:rPr>
  </w:style>
  <w:style w:type="paragraph" w:styleId="En-tte">
    <w:name w:val="header"/>
    <w:basedOn w:val="Normal"/>
    <w:rsid w:val="00E2236D"/>
    <w:pPr>
      <w:tabs>
        <w:tab w:val="center" w:pos="4536"/>
        <w:tab w:val="right" w:pos="9072"/>
      </w:tabs>
    </w:pPr>
    <w:rPr>
      <w:rFonts w:cs="Mangal"/>
    </w:rPr>
  </w:style>
  <w:style w:type="paragraph" w:styleId="Pieddepage">
    <w:name w:val="footer"/>
    <w:basedOn w:val="Normal"/>
    <w:rsid w:val="00E2236D"/>
    <w:pPr>
      <w:tabs>
        <w:tab w:val="center" w:pos="4536"/>
        <w:tab w:val="right" w:pos="9072"/>
      </w:tabs>
    </w:pPr>
    <w:rPr>
      <w:rFonts w:cs="Mangal"/>
    </w:rPr>
  </w:style>
  <w:style w:type="paragraph" w:customStyle="1" w:styleId="Contenudetableau">
    <w:name w:val="Contenu de tableau"/>
    <w:basedOn w:val="Normal"/>
    <w:rsid w:val="00E2236D"/>
    <w:pPr>
      <w:suppressLineNumbers/>
    </w:pPr>
  </w:style>
  <w:style w:type="paragraph" w:customStyle="1" w:styleId="Titredetableau">
    <w:name w:val="Titre de tableau"/>
    <w:basedOn w:val="Contenudetableau"/>
    <w:rsid w:val="00E2236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onsoglobe.com/wp-content/uploads/2013/07/&#233;mission-par-habitant-dans-le-monde-50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LEMOINE</dc:creator>
  <cp:keywords/>
  <cp:lastModifiedBy>LEMOINE</cp:lastModifiedBy>
  <cp:revision>5</cp:revision>
  <cp:lastPrinted>1601-01-01T00:00:00Z</cp:lastPrinted>
  <dcterms:created xsi:type="dcterms:W3CDTF">2014-02-22T15:13:00Z</dcterms:created>
  <dcterms:modified xsi:type="dcterms:W3CDTF">2014-04-05T05:49:00Z</dcterms:modified>
</cp:coreProperties>
</file>