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9C711D" w:rsidTr="001A16C8">
        <w:tc>
          <w:tcPr>
            <w:tcW w:w="2518" w:type="dxa"/>
          </w:tcPr>
          <w:p w:rsidR="009C711D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</w:t>
            </w:r>
            <w:r w:rsidR="009C711D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émie d'AMIENS Baccalauréat ES </w:t>
            </w:r>
          </w:p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Session 201</w:t>
            </w:r>
            <w:r w:rsidR="00042E65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4678" w:type="dxa"/>
          </w:tcPr>
          <w:p w:rsidR="00E94CFA" w:rsidRPr="009C711D" w:rsidRDefault="00E94CFA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(Enseignement spécifique :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coefficient 7)</w:t>
            </w:r>
          </w:p>
        </w:tc>
        <w:tc>
          <w:tcPr>
            <w:tcW w:w="2582" w:type="dxa"/>
          </w:tcPr>
          <w:p w:rsidR="00E167D7" w:rsidRPr="009C711D" w:rsidRDefault="00042E6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N° du sujet : 14</w:t>
            </w:r>
            <w:r w:rsidR="00E167D7" w:rsidRPr="009C711D">
              <w:rPr>
                <w:rFonts w:ascii="Times New Roman" w:hAnsi="Times New Roman" w:cs="Times New Roman"/>
                <w:b/>
                <w:sz w:val="22"/>
                <w:szCs w:val="22"/>
              </w:rPr>
              <w:t>c7-</w:t>
            </w:r>
            <w:r w:rsidR="009C47A0">
              <w:rPr>
                <w:rFonts w:ascii="Times New Roman" w:hAnsi="Times New Roman" w:cs="Times New Roman"/>
                <w:b/>
                <w:sz w:val="22"/>
                <w:szCs w:val="22"/>
              </w:rPr>
              <w:t>1-21-1</w:t>
            </w:r>
          </w:p>
        </w:tc>
      </w:tr>
      <w:tr w:rsidR="00E167D7" w:rsidRPr="009C711D" w:rsidTr="001A16C8">
        <w:tc>
          <w:tcPr>
            <w:tcW w:w="2518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9C711D" w:rsidRDefault="00E167D7" w:rsidP="001A16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E167D7" w:rsidRPr="009C711D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</w:rPr>
              <w:t>Durée de l'interrogation : 20 minutes</w:t>
            </w:r>
          </w:p>
        </w:tc>
      </w:tr>
      <w:tr w:rsidR="00E167D7" w:rsidRPr="00A679D4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E94CFA"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</w:t>
            </w:r>
            <w:r w:rsidR="008D0C9B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Quels sont les fondements du commerce international et de l’internationalisation de la production ?</w:t>
            </w:r>
          </w:p>
        </w:tc>
      </w:tr>
      <w:tr w:rsidR="00E167D7" w:rsidRPr="00A679D4" w:rsidTr="001A16C8">
        <w:tc>
          <w:tcPr>
            <w:tcW w:w="9778" w:type="dxa"/>
            <w:gridSpan w:val="3"/>
          </w:tcPr>
          <w:p w:rsidR="00E167D7" w:rsidRPr="00271DF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271DF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</w:p>
          <w:p w:rsidR="00E167D7" w:rsidRPr="00271DFD" w:rsidRDefault="00057A73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271DF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Comment</w:t>
            </w:r>
            <w:r w:rsidR="00A06AEF" w:rsidRPr="00271DF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peut-on</w:t>
            </w:r>
            <w:r w:rsidRPr="00271DF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expliquer les stratégies de localisation des firmes multinationales ?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9C47A0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9C47A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Donnez la signification</w:t>
            </w:r>
            <w:r w:rsidR="00A06AE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chaque</w:t>
            </w:r>
            <w:r w:rsidR="00A06AEF" w:rsidRPr="00A06AE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donnée entourée (document 1</w:t>
            </w:r>
            <w:r w:rsidR="00A06AE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).</w:t>
            </w:r>
            <w:r w:rsidR="00A06AEF" w:rsidRPr="00A06AE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9C47A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(4</w:t>
            </w:r>
            <w:r w:rsidR="00BD30E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points)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B80B45" w:rsidP="00BD30E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BD30E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 Aujourd’hui, le travail est-il toujours s</w:t>
            </w:r>
            <w:r w:rsidR="009C47A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ource d’intégration sociale ? (3</w:t>
            </w:r>
            <w:r w:rsidR="00BD30E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points)</w:t>
            </w:r>
          </w:p>
        </w:tc>
      </w:tr>
      <w:tr w:rsidR="00E167D7" w:rsidRPr="009C711D" w:rsidTr="001A16C8">
        <w:tc>
          <w:tcPr>
            <w:tcW w:w="9778" w:type="dxa"/>
            <w:gridSpan w:val="3"/>
          </w:tcPr>
          <w:p w:rsidR="00E167D7" w:rsidRPr="009C711D" w:rsidRDefault="00B80B45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9C711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BD30E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Distinguez égalité des droits, égalité des situations et égalité des chances. (3 points)</w:t>
            </w:r>
          </w:p>
        </w:tc>
      </w:tr>
    </w:tbl>
    <w:p w:rsidR="001A16C8" w:rsidRPr="009C711D" w:rsidRDefault="001A16C8">
      <w:pPr>
        <w:rPr>
          <w:rFonts w:ascii="Times New Roman" w:hAnsi="Times New Roman"/>
          <w:sz w:val="22"/>
          <w:szCs w:val="22"/>
          <w:lang w:val="fr-FR"/>
        </w:rPr>
      </w:pPr>
    </w:p>
    <w:p w:rsidR="001A16C8" w:rsidRPr="009C711D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417"/>
        <w:gridCol w:w="1418"/>
        <w:gridCol w:w="1275"/>
        <w:gridCol w:w="1276"/>
      </w:tblGrid>
      <w:tr w:rsidR="00057A73" w:rsidRPr="00A679D4" w:rsidTr="00C6495F"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A73" w:rsidRPr="00C6495F" w:rsidRDefault="00057A73" w:rsidP="008D0C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fr-FR"/>
              </w:rPr>
              <w:t>Flux d’IDE entrants et sorta</w:t>
            </w:r>
            <w:r w:rsidR="008D0C9B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fr-FR"/>
              </w:rPr>
              <w:t>nts en millions de dollars et %</w:t>
            </w:r>
          </w:p>
        </w:tc>
      </w:tr>
      <w:tr w:rsidR="00057A73" w:rsidRPr="00C6495F" w:rsidTr="00C6495F"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  <w:t>IDE entrants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  <w:t>IDE sortants</w:t>
            </w:r>
          </w:p>
        </w:tc>
      </w:tr>
      <w:tr w:rsidR="004B1396" w:rsidRPr="00C6495F" w:rsidTr="00C6495F">
        <w:tc>
          <w:tcPr>
            <w:tcW w:w="4503" w:type="dxa"/>
            <w:tcBorders>
              <w:top w:val="nil"/>
              <w:left w:val="nil"/>
            </w:tcBorders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  <w:t>1970</w:t>
            </w:r>
          </w:p>
        </w:tc>
        <w:tc>
          <w:tcPr>
            <w:tcW w:w="1418" w:type="dxa"/>
            <w:shd w:val="clear" w:color="auto" w:fill="auto"/>
          </w:tcPr>
          <w:p w:rsidR="00057A73" w:rsidRPr="00C6495F" w:rsidRDefault="00BB64FA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BB64F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fr-FR" w:eastAsia="fr-FR" w:bidi="ar-SA"/>
              </w:rPr>
              <w:pict>
                <v:oval id="_x0000_s1026" style="position:absolute;left:0;text-align:left;margin-left:.55pt;margin-top:12.8pt;width:63.75pt;height:21pt;z-index:251657216;mso-position-horizontal-relative:text;mso-position-vertical-relative:text" filled="f"/>
              </w:pict>
            </w:r>
            <w:r w:rsidR="00057A73" w:rsidRPr="00C6495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  <w:t>2010</w:t>
            </w:r>
          </w:p>
        </w:tc>
        <w:tc>
          <w:tcPr>
            <w:tcW w:w="1275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  <w:t>1970</w:t>
            </w:r>
          </w:p>
        </w:tc>
        <w:tc>
          <w:tcPr>
            <w:tcW w:w="1276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  <w:t>2010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Monde (millions $)</w:t>
            </w:r>
          </w:p>
        </w:tc>
        <w:tc>
          <w:tcPr>
            <w:tcW w:w="1417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13 346</w:t>
            </w:r>
          </w:p>
        </w:tc>
        <w:tc>
          <w:tcPr>
            <w:tcW w:w="1418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1 243 671</w:t>
            </w:r>
          </w:p>
        </w:tc>
        <w:tc>
          <w:tcPr>
            <w:tcW w:w="1275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14 151</w:t>
            </w:r>
          </w:p>
        </w:tc>
        <w:tc>
          <w:tcPr>
            <w:tcW w:w="1276" w:type="dxa"/>
            <w:shd w:val="clear" w:color="auto" w:fill="auto"/>
          </w:tcPr>
          <w:p w:rsidR="00057A73" w:rsidRPr="00C6495F" w:rsidRDefault="00BB64FA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  <w:lang w:val="fr-FR" w:eastAsia="fr-FR" w:bidi="ar-SA"/>
              </w:rPr>
              <w:pict>
                <v:oval id="_x0000_s1028" style="position:absolute;left:0;text-align:left;margin-left:-3.6pt;margin-top:14.55pt;width:57.75pt;height:18.75pt;z-index:251658240;mso-position-horizontal-relative:text;mso-position-vertical-relative:text" filled="f"/>
              </w:pict>
            </w:r>
            <w:r w:rsidR="00057A73"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1 323 337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D9D9D9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  <w:t>Economies développées</w:t>
            </w:r>
          </w:p>
        </w:tc>
        <w:tc>
          <w:tcPr>
            <w:tcW w:w="1417" w:type="dxa"/>
            <w:shd w:val="clear" w:color="auto" w:fill="D9D9D9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71,1 %</w:t>
            </w:r>
          </w:p>
        </w:tc>
        <w:tc>
          <w:tcPr>
            <w:tcW w:w="1418" w:type="dxa"/>
            <w:shd w:val="clear" w:color="auto" w:fill="D9D9D9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48,4 %</w:t>
            </w:r>
          </w:p>
        </w:tc>
        <w:tc>
          <w:tcPr>
            <w:tcW w:w="1275" w:type="dxa"/>
            <w:shd w:val="clear" w:color="auto" w:fill="D9D9D9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99,6 %</w:t>
            </w:r>
          </w:p>
        </w:tc>
        <w:tc>
          <w:tcPr>
            <w:tcW w:w="1276" w:type="dxa"/>
            <w:shd w:val="clear" w:color="auto" w:fill="D9D9D9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70,7 %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right"/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Dont UE</w:t>
            </w:r>
          </w:p>
        </w:tc>
        <w:tc>
          <w:tcPr>
            <w:tcW w:w="1417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39,2 %</w:t>
            </w:r>
          </w:p>
        </w:tc>
        <w:tc>
          <w:tcPr>
            <w:tcW w:w="1418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24,5 %</w:t>
            </w:r>
          </w:p>
        </w:tc>
        <w:tc>
          <w:tcPr>
            <w:tcW w:w="1275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35,8 %</w:t>
            </w:r>
          </w:p>
        </w:tc>
        <w:tc>
          <w:tcPr>
            <w:tcW w:w="1276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30,8 %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right"/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Dont Etats-Unis</w:t>
            </w:r>
          </w:p>
        </w:tc>
        <w:tc>
          <w:tcPr>
            <w:tcW w:w="1417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9,4 %</w:t>
            </w:r>
          </w:p>
        </w:tc>
        <w:tc>
          <w:tcPr>
            <w:tcW w:w="1418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18,4 %</w:t>
            </w:r>
          </w:p>
        </w:tc>
        <w:tc>
          <w:tcPr>
            <w:tcW w:w="1275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53,6 %</w:t>
            </w:r>
          </w:p>
        </w:tc>
        <w:tc>
          <w:tcPr>
            <w:tcW w:w="1276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21,4 %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right"/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Dont France</w:t>
            </w:r>
          </w:p>
        </w:tc>
        <w:tc>
          <w:tcPr>
            <w:tcW w:w="1417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4,7 %</w:t>
            </w:r>
          </w:p>
        </w:tc>
        <w:tc>
          <w:tcPr>
            <w:tcW w:w="1418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2,7 %</w:t>
            </w:r>
          </w:p>
        </w:tc>
        <w:tc>
          <w:tcPr>
            <w:tcW w:w="1275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2,6 %</w:t>
            </w:r>
          </w:p>
        </w:tc>
        <w:tc>
          <w:tcPr>
            <w:tcW w:w="1276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6,4 %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D9D9D9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fr-FR"/>
              </w:rPr>
              <w:t>Economies en développement et en transition</w:t>
            </w:r>
          </w:p>
        </w:tc>
        <w:tc>
          <w:tcPr>
            <w:tcW w:w="1417" w:type="dxa"/>
            <w:shd w:val="clear" w:color="auto" w:fill="D9D9D9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28,9 %</w:t>
            </w:r>
          </w:p>
        </w:tc>
        <w:tc>
          <w:tcPr>
            <w:tcW w:w="1418" w:type="dxa"/>
            <w:shd w:val="clear" w:color="auto" w:fill="D9D9D9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51,2 %</w:t>
            </w:r>
          </w:p>
        </w:tc>
        <w:tc>
          <w:tcPr>
            <w:tcW w:w="1275" w:type="dxa"/>
            <w:shd w:val="clear" w:color="auto" w:fill="D9D9D9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0,4 %</w:t>
            </w:r>
          </w:p>
        </w:tc>
        <w:tc>
          <w:tcPr>
            <w:tcW w:w="1276" w:type="dxa"/>
            <w:shd w:val="clear" w:color="auto" w:fill="D9D9D9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b/>
                <w:color w:val="000000"/>
                <w:sz w:val="22"/>
                <w:szCs w:val="22"/>
                <w:lang w:val="fr-FR"/>
              </w:rPr>
              <w:t>29,3 %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right"/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Dont BRIC*</w:t>
            </w:r>
          </w:p>
        </w:tc>
        <w:tc>
          <w:tcPr>
            <w:tcW w:w="1417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3,3 %</w:t>
            </w:r>
          </w:p>
        </w:tc>
        <w:tc>
          <w:tcPr>
            <w:tcW w:w="1418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17,7 %</w:t>
            </w:r>
          </w:p>
        </w:tc>
        <w:tc>
          <w:tcPr>
            <w:tcW w:w="1275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0,1 %</w:t>
            </w:r>
          </w:p>
        </w:tc>
        <w:tc>
          <w:tcPr>
            <w:tcW w:w="1276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11,1 %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right"/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Dont Afrique</w:t>
            </w:r>
          </w:p>
        </w:tc>
        <w:tc>
          <w:tcPr>
            <w:tcW w:w="1417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9,5 %</w:t>
            </w:r>
          </w:p>
        </w:tc>
        <w:tc>
          <w:tcPr>
            <w:tcW w:w="1418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4,4 %</w:t>
            </w:r>
          </w:p>
        </w:tc>
        <w:tc>
          <w:tcPr>
            <w:tcW w:w="1275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0,1 %</w:t>
            </w:r>
          </w:p>
        </w:tc>
        <w:tc>
          <w:tcPr>
            <w:tcW w:w="1276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0,5 %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right"/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Dont Chine</w:t>
            </w:r>
          </w:p>
        </w:tc>
        <w:tc>
          <w:tcPr>
            <w:tcW w:w="1417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0 %</w:t>
            </w:r>
          </w:p>
        </w:tc>
        <w:tc>
          <w:tcPr>
            <w:tcW w:w="1418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8,5 %</w:t>
            </w:r>
          </w:p>
        </w:tc>
        <w:tc>
          <w:tcPr>
            <w:tcW w:w="1275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0 %</w:t>
            </w:r>
          </w:p>
        </w:tc>
        <w:tc>
          <w:tcPr>
            <w:tcW w:w="1276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5,1 %</w:t>
            </w:r>
          </w:p>
        </w:tc>
      </w:tr>
      <w:tr w:rsidR="004B1396" w:rsidRPr="00C6495F" w:rsidTr="00C6495F">
        <w:tc>
          <w:tcPr>
            <w:tcW w:w="4503" w:type="dxa"/>
            <w:shd w:val="clear" w:color="auto" w:fill="auto"/>
          </w:tcPr>
          <w:p w:rsidR="00057A73" w:rsidRPr="00C6495F" w:rsidRDefault="00057A73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right"/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i/>
                <w:color w:val="000000"/>
                <w:sz w:val="22"/>
                <w:szCs w:val="22"/>
                <w:lang w:val="fr-FR"/>
              </w:rPr>
              <w:t>Dont Roumanie</w:t>
            </w:r>
          </w:p>
        </w:tc>
        <w:tc>
          <w:tcPr>
            <w:tcW w:w="1417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0 %</w:t>
            </w:r>
          </w:p>
        </w:tc>
        <w:tc>
          <w:tcPr>
            <w:tcW w:w="1418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0,8 %</w:t>
            </w:r>
          </w:p>
        </w:tc>
        <w:tc>
          <w:tcPr>
            <w:tcW w:w="1275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0 %</w:t>
            </w:r>
          </w:p>
        </w:tc>
        <w:tc>
          <w:tcPr>
            <w:tcW w:w="1276" w:type="dxa"/>
            <w:shd w:val="clear" w:color="auto" w:fill="auto"/>
          </w:tcPr>
          <w:p w:rsidR="00057A73" w:rsidRPr="00C6495F" w:rsidRDefault="004B1396" w:rsidP="00C649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C6495F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0,01 %</w:t>
            </w:r>
          </w:p>
        </w:tc>
      </w:tr>
    </w:tbl>
    <w:p w:rsidR="004B1396" w:rsidRDefault="004B1396" w:rsidP="004B13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*BRIC = les 4 plus grands pays émergents : Brésil, Russie, Inde et Chine.</w:t>
      </w:r>
    </w:p>
    <w:p w:rsidR="007F0C58" w:rsidRPr="009C711D" w:rsidRDefault="00A679D4" w:rsidP="00A679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Source : </w:t>
      </w:r>
      <w:r w:rsidR="00057A73">
        <w:rPr>
          <w:rFonts w:ascii="Times New Roman" w:hAnsi="Times New Roman"/>
          <w:color w:val="000000"/>
          <w:sz w:val="22"/>
          <w:szCs w:val="22"/>
          <w:lang w:val="fr-FR"/>
        </w:rPr>
        <w:t>CNUCED, 2011.</w:t>
      </w:r>
    </w:p>
    <w:p w:rsidR="004B1396" w:rsidRDefault="004B13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</w:p>
    <w:p w:rsidR="00B80B45" w:rsidRDefault="00E94C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9C711D">
        <w:rPr>
          <w:rFonts w:ascii="Times New Roman" w:hAnsi="Times New Roman"/>
          <w:color w:val="000000"/>
          <w:sz w:val="22"/>
          <w:szCs w:val="22"/>
          <w:lang w:val="fr-FR"/>
        </w:rPr>
        <w:t>DOCUMENT 2</w:t>
      </w:r>
    </w:p>
    <w:p w:rsidR="00A06AEF" w:rsidRPr="00A06AEF" w:rsidRDefault="00A06AEF" w:rsidP="00A06A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Même dans les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industries comme le textile, l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 xml:space="preserve">e coût du travail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ne représente qu'un déterminant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relativ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ement secondaire dans les choix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stratégiques des entreprises. Le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 infrastructures de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 xml:space="preserve">transport, le risque de change, le prix des assurances,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les droits de douane et le coût d'importation des matières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premières contribuent souvent à augmenter les coûts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de production dans les pays où le travail n'est pas très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cher. Et même si les salaires y sont très ba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s, personne n'ira jamais ouvrir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d'usine en Sierra Leone ou e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n Haïti. Ce qui compte pour une entreprise, c'est ce qu'on appelle le coût unitaire, c'est-à-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dire le coût du travail corrigé de la productivité d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u travail. Et là où les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 xml:space="preserve">travailleurs sont instruits, motivés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et bien entraînés, ce coût peut-être beaucoup plus bas que dans certains pays en développe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ment.</w:t>
      </w:r>
    </w:p>
    <w:p w:rsidR="00A06AEF" w:rsidRPr="00A06AEF" w:rsidRDefault="00A06AEF" w:rsidP="00A06A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Par ailleurs, des productions a priori menacées de délocalisation se maintiennent bien dans des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pays à ha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uts salaires. [...] Il est même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possible, dans des économies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 à hauts salaires, de créer une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entreprise traditionnell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e qui dégage des bénéfices en se focalisant sur l'innovation, le design et les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 xml:space="preserve">activités à forte valeur ajoutée. [...] Les seules ressources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capables de créer des avantages comparatifs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aujourd'hu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i résident dans la capacité des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entrepri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ses à promouvoir des stratégies fondées sur l'innovati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on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, la conception, la qualité, la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 xml:space="preserve">réputation de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la marque, la proximité avec le 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client, etc.</w:t>
      </w:r>
    </w:p>
    <w:p w:rsidR="00EC68AF" w:rsidRPr="009C711D" w:rsidRDefault="00A06AEF" w:rsidP="00A06A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right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S.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 xml:space="preserve">Berger, « La mondialisation n'est pas une voie à sens unique », </w:t>
      </w:r>
      <w:r w:rsidRPr="00A06AEF">
        <w:rPr>
          <w:rFonts w:ascii="Times New Roman" w:hAnsi="Times New Roman"/>
          <w:i/>
          <w:color w:val="000000"/>
          <w:sz w:val="22"/>
          <w:szCs w:val="22"/>
          <w:lang w:val="fr-FR"/>
        </w:rPr>
        <w:t>Alternatives économiques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, n°244,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02/</w:t>
      </w:r>
      <w:r w:rsidRPr="00A06AEF">
        <w:rPr>
          <w:rFonts w:ascii="Times New Roman" w:hAnsi="Times New Roman"/>
          <w:color w:val="000000"/>
          <w:sz w:val="22"/>
          <w:szCs w:val="22"/>
          <w:lang w:val="fr-FR"/>
        </w:rPr>
        <w:t>2006</w:t>
      </w:r>
      <w:r>
        <w:rPr>
          <w:rFonts w:ascii="Times New Roman" w:hAnsi="Times New Roman"/>
          <w:color w:val="000000"/>
          <w:sz w:val="22"/>
          <w:szCs w:val="22"/>
          <w:lang w:val="fr-FR"/>
        </w:rPr>
        <w:t>.</w:t>
      </w:r>
    </w:p>
    <w:sectPr w:rsidR="00EC68AF" w:rsidRPr="009C711D" w:rsidSect="0097499C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07" w:rsidRDefault="00356C07" w:rsidP="009C711D">
      <w:r>
        <w:separator/>
      </w:r>
    </w:p>
  </w:endnote>
  <w:endnote w:type="continuationSeparator" w:id="1">
    <w:p w:rsidR="00356C07" w:rsidRDefault="00356C07" w:rsidP="009C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9C711D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9C711D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07" w:rsidRDefault="00356C07" w:rsidP="009C711D">
      <w:r>
        <w:separator/>
      </w:r>
    </w:p>
  </w:footnote>
  <w:footnote w:type="continuationSeparator" w:id="1">
    <w:p w:rsidR="00356C07" w:rsidRDefault="00356C07" w:rsidP="009C7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2C0F"/>
    <w:multiLevelType w:val="hybridMultilevel"/>
    <w:tmpl w:val="9D14AABA"/>
    <w:lvl w:ilvl="0" w:tplc="8244D414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D3324"/>
    <w:multiLevelType w:val="hybridMultilevel"/>
    <w:tmpl w:val="F6C481AA"/>
    <w:lvl w:ilvl="0" w:tplc="65107D78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42E65"/>
    <w:rsid w:val="00057A73"/>
    <w:rsid w:val="00081244"/>
    <w:rsid w:val="001A16C8"/>
    <w:rsid w:val="0025079B"/>
    <w:rsid w:val="00271DFD"/>
    <w:rsid w:val="002C6BD6"/>
    <w:rsid w:val="00310C1E"/>
    <w:rsid w:val="00356C07"/>
    <w:rsid w:val="004054BB"/>
    <w:rsid w:val="004B1396"/>
    <w:rsid w:val="005F742A"/>
    <w:rsid w:val="00693E30"/>
    <w:rsid w:val="007F0C58"/>
    <w:rsid w:val="008B20E8"/>
    <w:rsid w:val="008D0C9B"/>
    <w:rsid w:val="0097499C"/>
    <w:rsid w:val="009C47A0"/>
    <w:rsid w:val="009C711D"/>
    <w:rsid w:val="00A06AEF"/>
    <w:rsid w:val="00A679D4"/>
    <w:rsid w:val="00AB7361"/>
    <w:rsid w:val="00AC472F"/>
    <w:rsid w:val="00B80B45"/>
    <w:rsid w:val="00BB64FA"/>
    <w:rsid w:val="00BD30ED"/>
    <w:rsid w:val="00C6495F"/>
    <w:rsid w:val="00CE2F36"/>
    <w:rsid w:val="00E00DEA"/>
    <w:rsid w:val="00E167D7"/>
    <w:rsid w:val="00E94CFA"/>
    <w:rsid w:val="00EC68AF"/>
    <w:rsid w:val="00F8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9C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97499C"/>
  </w:style>
  <w:style w:type="character" w:customStyle="1" w:styleId="WW-Absatz-Standardschriftart">
    <w:name w:val="WW-Absatz-Standardschriftart"/>
    <w:rsid w:val="0097499C"/>
  </w:style>
  <w:style w:type="character" w:customStyle="1" w:styleId="Policepardfaut1">
    <w:name w:val="Police par défaut1"/>
    <w:rsid w:val="0097499C"/>
  </w:style>
  <w:style w:type="paragraph" w:customStyle="1" w:styleId="Titre10">
    <w:name w:val="Titre1"/>
    <w:basedOn w:val="Normal"/>
    <w:next w:val="Corpsdetexte"/>
    <w:rsid w:val="0097499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97499C"/>
    <w:pPr>
      <w:spacing w:after="120"/>
    </w:pPr>
  </w:style>
  <w:style w:type="paragraph" w:styleId="Liste">
    <w:name w:val="List"/>
    <w:basedOn w:val="Corpsdetexte"/>
    <w:rsid w:val="0097499C"/>
  </w:style>
  <w:style w:type="paragraph" w:customStyle="1" w:styleId="Lgende1">
    <w:name w:val="Légende1"/>
    <w:basedOn w:val="Normal"/>
    <w:rsid w:val="0097499C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97499C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link w:val="En-tt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semiHidden/>
    <w:unhideWhenUsed/>
    <w:rsid w:val="009C711D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link w:val="Pieddepage"/>
    <w:uiPriority w:val="99"/>
    <w:semiHidden/>
    <w:rsid w:val="009C711D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9A54-A143-41E7-9408-D33FAEF7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5</cp:revision>
  <cp:lastPrinted>1601-01-01T00:00:00Z</cp:lastPrinted>
  <dcterms:created xsi:type="dcterms:W3CDTF">2014-03-08T07:15:00Z</dcterms:created>
  <dcterms:modified xsi:type="dcterms:W3CDTF">2014-04-05T06:40:00Z</dcterms:modified>
</cp:coreProperties>
</file>